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B23" w:rsidP="00B50B23">
      <w:pPr>
        <w:pStyle w:val="Title"/>
      </w:pPr>
      <w:r>
        <w:fldChar w:fldCharType="begin"/>
      </w:r>
      <w:r>
        <w:instrText xml:space="preserve"> TITLE   \* MERGEFORMAT </w:instrText>
      </w:r>
      <w:r>
        <w:fldChar w:fldCharType="separate"/>
      </w:r>
      <w:r>
        <w:t>MEM25002 Form and integrate fibre-reinforced structures</w:t>
      </w:r>
      <w:r>
        <w:fldChar w:fldCharType="end"/>
      </w:r>
    </w:p>
    <w:p w:rsidR="00B50B23" w:rsidP="00B50B23">
      <w:pPr>
        <w:pStyle w:val="Version"/>
        <w:sectPr w:rsidSect="00A00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491" w:rsidP="00A00491">
      <w:pPr>
        <w:pStyle w:val="SuperHeading"/>
      </w:pPr>
      <w:r w:rsidRPr="00A00491">
        <w:t>MEM25002 Form and integrate fibre-reinforced structures</w:t>
      </w:r>
    </w:p>
    <w:p w:rsidR="00000000" w:rsidRPr="00A00491" w:rsidP="00A00491">
      <w:pPr>
        <w:pStyle w:val="Heading1"/>
      </w:pPr>
      <w:bookmarkStart w:id="1" w:name="O_953651"/>
      <w:bookmarkEnd w:id="1"/>
      <w:r w:rsidRPr="00A00491">
        <w:t>Modification History</w:t>
      </w:r>
    </w:p>
    <w:p w:rsidR="00000000" w:rsidRPr="00A00491" w:rsidP="00B50B23">
      <w:pPr>
        <w:pStyle w:val="BodyText"/>
      </w:pPr>
      <w:r w:rsidRPr="00A00491">
        <w:t xml:space="preserve">Release 1. Supersedes and is equivalent to MEM25002B Form and integrate fibre-reinforced structures </w:t>
      </w:r>
    </w:p>
    <w:p w:rsidR="00000000" w:rsidRPr="00A00491" w:rsidP="00A00491">
      <w:pPr>
        <w:pStyle w:val="Heading1"/>
      </w:pPr>
      <w:bookmarkStart w:id="2" w:name="O_953659"/>
      <w:bookmarkEnd w:id="2"/>
      <w:r w:rsidRPr="00A00491">
        <w:t>Application</w:t>
      </w:r>
    </w:p>
    <w:p w:rsidR="00000000" w:rsidRPr="00A00491" w:rsidP="00B50B23">
      <w:pPr>
        <w:pStyle w:val="BodyText"/>
      </w:pPr>
      <w:r w:rsidRPr="00A00491">
        <w:t>This unit of competency defines the skills and knowledge required to apply, form and inte</w:t>
      </w:r>
      <w:r w:rsidRPr="00A00491">
        <w:t xml:space="preserve">grate fibre-reinforced components using manual and mechanical methods in marine vessel and aircraft construction applications. </w:t>
      </w:r>
    </w:p>
    <w:p w:rsidR="00000000" w:rsidRPr="00A00491" w:rsidP="00B50B23">
      <w:pPr>
        <w:pStyle w:val="BodyText"/>
      </w:pPr>
      <w:r w:rsidRPr="00A00491">
        <w:t>It applies to component construction carried out for mould installation, and application and forming operations conducted withi</w:t>
      </w:r>
      <w:r w:rsidRPr="00A00491">
        <w:t>n a mould or over a former assembly using a variety of glass reinforcements and other fibres.</w:t>
      </w:r>
    </w:p>
    <w:p w:rsidR="00000000" w:rsidRPr="00A00491" w:rsidP="00B50B23">
      <w:pPr>
        <w:pStyle w:val="BodyText"/>
      </w:pPr>
      <w:r w:rsidRPr="00A00491">
        <w:t>Where mark off/out skills is required unit MEM12007 Mark off/out structural fabrications and shapes should also be selected.</w:t>
      </w:r>
    </w:p>
    <w:p w:rsidR="00000000" w:rsidRPr="00A00491" w:rsidP="00B50B23">
      <w:pPr>
        <w:pStyle w:val="BodyText"/>
      </w:pPr>
      <w:r w:rsidRPr="00A00491">
        <w:t>Where straightforward application o</w:t>
      </w:r>
      <w:r w:rsidRPr="00A00491">
        <w:t>f fibre-reinforced materials and no forming or integrating is required unit MEM25001 Apply fibre-reinforced materials should be selected.</w:t>
      </w:r>
    </w:p>
    <w:p w:rsidR="00000000" w:rsidRPr="00A00491" w:rsidP="00B50B23">
      <w:pPr>
        <w:pStyle w:val="BodyText"/>
      </w:pPr>
      <w:r w:rsidRPr="00A00491">
        <w:t xml:space="preserve">No licensing, legislative or certification requirements apply to this unit at the time of publication. </w:t>
      </w:r>
    </w:p>
    <w:p w:rsidR="00000000" w:rsidRPr="00A00491" w:rsidP="00A00491">
      <w:pPr>
        <w:pStyle w:val="BodyText"/>
      </w:pPr>
      <w:r w:rsidRPr="00A00491">
        <w:rPr>
          <w:rStyle w:val="SpecialBold"/>
        </w:rPr>
        <w:t>Band</w:t>
      </w:r>
      <w:r w:rsidRPr="00A00491">
        <w:t>:</w:t>
      </w:r>
      <w:r w:rsidRPr="00A00491">
        <w:tab/>
      </w:r>
      <w:r w:rsidRPr="00A00491">
        <w:rPr>
          <w:rStyle w:val="SpecialBold"/>
        </w:rPr>
        <w:t>A</w:t>
      </w:r>
    </w:p>
    <w:p w:rsidR="00000000" w:rsidRPr="00A00491" w:rsidP="00A00491">
      <w:pPr>
        <w:pStyle w:val="BodyText"/>
      </w:pPr>
      <w:r w:rsidRPr="00A00491">
        <w:rPr>
          <w:rStyle w:val="SpecialBold"/>
        </w:rPr>
        <w:t>Unit</w:t>
      </w:r>
      <w:r w:rsidRPr="00A00491">
        <w:rPr>
          <w:rStyle w:val="SpecialBold"/>
        </w:rPr>
        <w:t xml:space="preserve"> Weight</w:t>
      </w:r>
      <w:r w:rsidRPr="00A00491">
        <w:t>:</w:t>
      </w:r>
      <w:r w:rsidRPr="00A00491">
        <w:tab/>
      </w:r>
      <w:r w:rsidRPr="00A00491">
        <w:rPr>
          <w:rStyle w:val="SpecialBold"/>
        </w:rPr>
        <w:t>4</w:t>
      </w:r>
    </w:p>
    <w:p w:rsidR="00000000" w:rsidRPr="00A00491" w:rsidP="00A00491">
      <w:pPr>
        <w:pStyle w:val="AllowPageBreak"/>
      </w:pPr>
    </w:p>
    <w:p w:rsidR="00000000" w:rsidRPr="00A00491" w:rsidP="00A00491">
      <w:pPr>
        <w:pStyle w:val="Heading1"/>
      </w:pPr>
      <w:bookmarkStart w:id="3" w:name="O_953658"/>
      <w:bookmarkEnd w:id="3"/>
      <w:r w:rsidRPr="00A00491">
        <w:t>Pre-requisite Unit</w:t>
      </w:r>
    </w:p>
    <w:tbl>
      <w:tblPr>
        <w:tblW w:w="0" w:type="auto"/>
        <w:tblLayout w:type="fixed"/>
        <w:tblCellMar>
          <w:left w:w="62" w:type="dxa"/>
          <w:right w:w="62" w:type="dxa"/>
        </w:tblCellMar>
        <w:tblLook w:val="0000"/>
      </w:tblPr>
      <w:tblGrid>
        <w:gridCol w:w="2186"/>
        <w:gridCol w:w="6886"/>
      </w:tblGrid>
      <w:tr w:rsidTr="00A00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MEM09002</w:t>
            </w:r>
          </w:p>
        </w:tc>
        <w:tc>
          <w:tcPr>
            <w:tcW w:w="68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Interpret technical drawing</w:t>
            </w:r>
          </w:p>
        </w:tc>
      </w:tr>
      <w:tr w:rsidTr="00A00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MEM11011</w:t>
            </w:r>
          </w:p>
        </w:tc>
        <w:tc>
          <w:tcPr>
            <w:tcW w:w="68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Undertake manual handling</w:t>
            </w:r>
          </w:p>
        </w:tc>
      </w:tr>
      <w:tr w:rsidTr="00A00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MEM12023</w:t>
            </w:r>
          </w:p>
        </w:tc>
        <w:tc>
          <w:tcPr>
            <w:tcW w:w="68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Perform engineering measurements</w:t>
            </w:r>
          </w:p>
        </w:tc>
      </w:tr>
      <w:tr w:rsidTr="00A00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MEM13003</w:t>
            </w:r>
          </w:p>
        </w:tc>
        <w:tc>
          <w:tcPr>
            <w:tcW w:w="68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Work safely with industrial chemicals and materials</w:t>
            </w:r>
          </w:p>
        </w:tc>
      </w:tr>
      <w:tr w:rsidTr="00A00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MEM13015</w:t>
            </w:r>
          </w:p>
        </w:tc>
        <w:tc>
          <w:tcPr>
            <w:tcW w:w="68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Work safely and effectively in manufacturing and engineering</w:t>
            </w:r>
          </w:p>
        </w:tc>
      </w:tr>
      <w:tr w:rsidTr="00A00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MEM16006</w:t>
            </w:r>
          </w:p>
        </w:tc>
        <w:tc>
          <w:tcPr>
            <w:tcW w:w="68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Organise and communicate information</w:t>
            </w:r>
          </w:p>
        </w:tc>
      </w:tr>
      <w:tr w:rsidTr="00A00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MEM18001</w:t>
            </w:r>
          </w:p>
        </w:tc>
        <w:tc>
          <w:tcPr>
            <w:tcW w:w="68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Use hand tools</w:t>
            </w:r>
          </w:p>
        </w:tc>
      </w:tr>
      <w:tr w:rsidTr="00A00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MEM18002</w:t>
            </w:r>
          </w:p>
        </w:tc>
        <w:tc>
          <w:tcPr>
            <w:tcW w:w="6886" w:type="dxa"/>
            <w:tcBorders>
              <w:top w:val="nil"/>
              <w:left w:val="nil"/>
              <w:bottom w:val="nil"/>
              <w:right w:val="nil"/>
            </w:tcBorders>
            <w:tcMar>
              <w:top w:w="0" w:type="dxa"/>
              <w:left w:w="62" w:type="dxa"/>
              <w:bottom w:w="0" w:type="dxa"/>
              <w:right w:w="62" w:type="dxa"/>
            </w:tcMar>
          </w:tcPr>
          <w:p w:rsidR="00000000" w:rsidRPr="00A00491" w:rsidP="00A00491">
            <w:pPr>
              <w:pStyle w:val="BodyText"/>
            </w:pPr>
            <w:r w:rsidRPr="00A00491">
              <w:t>Use power tools/hand held operations</w:t>
            </w:r>
          </w:p>
        </w:tc>
      </w:tr>
    </w:tbl>
    <w:p w:rsidR="00000000" w:rsidRPr="00A00491" w:rsidP="00A00491">
      <w:pPr>
        <w:pStyle w:val="BodyText"/>
      </w:pPr>
    </w:p>
    <w:p w:rsidR="00000000" w:rsidRPr="00A00491" w:rsidP="00A00491">
      <w:pPr>
        <w:pStyle w:val="AllowPageBreak"/>
      </w:pPr>
    </w:p>
    <w:p w:rsidR="00000000" w:rsidRPr="00A00491" w:rsidP="00A00491">
      <w:pPr>
        <w:pStyle w:val="Heading1"/>
      </w:pPr>
      <w:bookmarkStart w:id="4" w:name="O_953657"/>
      <w:bookmarkEnd w:id="4"/>
      <w:r w:rsidRPr="00A00491">
        <w:t>Competency Field</w:t>
      </w:r>
    </w:p>
    <w:p w:rsidR="00000000" w:rsidRPr="00A00491" w:rsidP="00B50B23">
      <w:pPr>
        <w:pStyle w:val="BodyText"/>
      </w:pPr>
      <w:r w:rsidRPr="00A00491">
        <w:t>Marine craft construction</w:t>
      </w:r>
    </w:p>
    <w:p w:rsidR="00000000" w:rsidRPr="00A00491" w:rsidP="00A00491">
      <w:pPr>
        <w:pStyle w:val="Heading1"/>
      </w:pPr>
      <w:bookmarkStart w:id="5" w:name="O_953655"/>
      <w:bookmarkEnd w:id="5"/>
      <w:r w:rsidRPr="00A0049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0049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Performance criteria describe the performance needed to demonstrate achievement of the element.</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00491" w:rsidP="00A00491">
            <w:pPr>
              <w:pStyle w:val="BodyText"/>
            </w:pPr>
            <w:r w:rsidRPr="00A00491">
              <w:t>1</w:t>
            </w:r>
          </w:p>
        </w:tc>
        <w:tc>
          <w:tcPr>
            <w:tcW w:w="1986" w:type="dxa"/>
            <w:vMerge w:val="restart"/>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1.1</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Follow standard operating procedures (SO</w:t>
            </w:r>
            <w:r w:rsidRPr="00A00491">
              <w:t>Ps)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1.2</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Comply with work health and safety (WHS) requirements at all times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1.3</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Use appropriate personal protective equipment (PPE) in accordance with SOPs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1.4</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Identify job requirements from specifications, drawings, job sheets or work instructions</w:t>
            </w:r>
          </w:p>
        </w:tc>
      </w:tr>
      <w:tr w:rsidTr="00A0049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0491">
            <w:pPr>
              <w:pStyle w:val="BodyText"/>
              <w:rPr>
                <w:lang w:val="en-NZ"/>
              </w:rPr>
            </w:pP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00491" w:rsidP="00A00491">
            <w:pPr>
              <w:pStyle w:val="BodyText"/>
            </w:pPr>
            <w:r w:rsidRPr="00A00491">
              <w:t>2</w:t>
            </w:r>
          </w:p>
        </w:tc>
        <w:tc>
          <w:tcPr>
            <w:tcW w:w="1986" w:type="dxa"/>
            <w:vMerge w:val="restart"/>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rPr>
                <w:rStyle w:val="SpecialBold"/>
              </w:rPr>
              <w:t>Form components</w:t>
            </w: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2.1</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Select relevant materials for component construction</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2.2</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Select relevant drawings and templates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2.3</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Form components to specifications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2.4</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Ensure component sizing matches the appropriate template</w:t>
            </w:r>
          </w:p>
        </w:tc>
      </w:tr>
      <w:tr w:rsidTr="00A0049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0491">
            <w:pPr>
              <w:pStyle w:val="BodyText"/>
              <w:rPr>
                <w:lang w:val="en-NZ"/>
              </w:rPr>
            </w:pP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00491" w:rsidP="00A00491">
            <w:pPr>
              <w:pStyle w:val="BodyText"/>
            </w:pPr>
            <w:r w:rsidRPr="00A00491">
              <w:t>3</w:t>
            </w:r>
          </w:p>
        </w:tc>
        <w:tc>
          <w:tcPr>
            <w:tcW w:w="1986" w:type="dxa"/>
            <w:vMerge w:val="restart"/>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rPr>
                <w:rStyle w:val="SpecialBold"/>
              </w:rPr>
              <w:t>Integrate components</w:t>
            </w: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3.1</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Determine integration requirements, materials fixing/bonding methods and mixing practices from job specifications and manufacturer specifications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3.2</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Set up and adjust equipment ready for operation</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3.3</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 xml:space="preserve">Fix/bond components in accordance with job </w:t>
            </w:r>
            <w:r w:rsidRPr="00A00491">
              <w:t>requirements and specifications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3.4</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Form/shape reinforcement materials to specifications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3.5</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Prepare component for encapsulation process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3.6</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Clean excess bonding material and dispose of waste following SOPs</w:t>
            </w:r>
          </w:p>
        </w:tc>
      </w:tr>
      <w:tr w:rsidTr="00A0049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0491">
            <w:pPr>
              <w:pStyle w:val="BodyText"/>
              <w:rPr>
                <w:lang w:val="en-NZ"/>
              </w:rPr>
            </w:pP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00491" w:rsidP="00A00491">
            <w:pPr>
              <w:pStyle w:val="BodyText"/>
            </w:pPr>
            <w:r w:rsidRPr="00A00491">
              <w:t>4</w:t>
            </w:r>
          </w:p>
        </w:tc>
        <w:tc>
          <w:tcPr>
            <w:tcW w:w="1986" w:type="dxa"/>
            <w:vMerge w:val="restart"/>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rPr>
                <w:rStyle w:val="SpecialBold"/>
              </w:rPr>
              <w:t>Undertake post-curing of materials</w:t>
            </w: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4.1</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Select post-curing method to suit job application</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4.2</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Set up equipment/accessories for post-curing</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4.3</w:t>
            </w:r>
          </w:p>
        </w:tc>
        <w:tc>
          <w:tcPr>
            <w:tcW w:w="5678"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Store equipment/accessorie</w:t>
            </w:r>
            <w:r w:rsidRPr="00A00491">
              <w:t>s according to SOPs</w:t>
            </w:r>
          </w:p>
        </w:tc>
      </w:tr>
      <w:tr w:rsidTr="00A00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4.4</w:t>
            </w:r>
          </w:p>
        </w:tc>
        <w:tc>
          <w:tcPr>
            <w:tcW w:w="5678" w:type="dxa"/>
            <w:tcBorders>
              <w:top w:val="nil"/>
              <w:left w:val="nil"/>
              <w:bottom w:val="nil"/>
              <w:right w:val="nil"/>
            </w:tcBorders>
            <w:tcMar>
              <w:top w:w="0" w:type="dxa"/>
              <w:left w:w="62" w:type="dxa"/>
              <w:bottom w:w="0" w:type="dxa"/>
              <w:right w:w="62" w:type="dxa"/>
            </w:tcMar>
          </w:tcPr>
          <w:p w:rsidR="00000000" w:rsidRPr="00A00491" w:rsidP="00A00491">
            <w:pPr>
              <w:pStyle w:val="BodyText"/>
            </w:pPr>
            <w:r w:rsidRPr="00A00491">
              <w:t>Disassemble, clean and store equipment and accessories following SOPs</w:t>
            </w:r>
          </w:p>
        </w:tc>
      </w:tr>
    </w:tbl>
    <w:p w:rsidR="00000000" w:rsidRPr="00A00491" w:rsidP="00A00491">
      <w:pPr>
        <w:pStyle w:val="BodyText"/>
      </w:pPr>
    </w:p>
    <w:p w:rsidR="00000000" w:rsidRPr="00A00491" w:rsidP="00A00491">
      <w:pPr>
        <w:pStyle w:val="AllowPageBreak"/>
      </w:pPr>
    </w:p>
    <w:p w:rsidR="00000000" w:rsidRPr="00A00491" w:rsidP="00A00491">
      <w:pPr>
        <w:pStyle w:val="Heading1"/>
      </w:pPr>
      <w:bookmarkStart w:id="6" w:name="O_953654"/>
      <w:bookmarkEnd w:id="6"/>
      <w:r w:rsidRPr="00A00491">
        <w:t>Foundation Skills</w:t>
      </w:r>
    </w:p>
    <w:p w:rsidR="00000000" w:rsidRPr="00A00491" w:rsidP="00B50B23">
      <w:pPr>
        <w:pStyle w:val="BodyText"/>
      </w:pPr>
      <w:r w:rsidRPr="00A00491">
        <w:t>This section describes those required skills (reading, writing, oral communication and numeracy) that are essential to wor</w:t>
      </w:r>
      <w:r w:rsidRPr="00A00491">
        <w:t xml:space="preserve">kplace performance in this unit of competency.  </w:t>
      </w:r>
    </w:p>
    <w:p w:rsidR="00000000" w:rsidRPr="00A00491" w:rsidP="00B50B23">
      <w:pPr>
        <w:pStyle w:val="BodyText"/>
      </w:pPr>
      <w:r w:rsidRPr="00A00491">
        <w:t>Foundation skills essential to performance are explicit in the performance criteria of this unit of competency.</w:t>
      </w:r>
    </w:p>
    <w:p w:rsidR="00000000" w:rsidRPr="00A00491" w:rsidP="00A00491">
      <w:pPr>
        <w:pStyle w:val="Heading1"/>
      </w:pPr>
      <w:bookmarkStart w:id="7" w:name="O_953653"/>
      <w:bookmarkEnd w:id="7"/>
      <w:r w:rsidRPr="00A00491">
        <w:t>Range of Conditions</w:t>
      </w:r>
    </w:p>
    <w:tbl>
      <w:tblPr>
        <w:tblW w:w="9286" w:type="dxa"/>
        <w:tblLayout w:type="fixed"/>
        <w:tblCellMar>
          <w:left w:w="62" w:type="dxa"/>
          <w:right w:w="62" w:type="dxa"/>
        </w:tblCellMar>
        <w:tblLook w:val="0000"/>
      </w:tblPr>
      <w:tblGrid>
        <w:gridCol w:w="2759"/>
        <w:gridCol w:w="6527"/>
      </w:tblGrid>
      <w:tr w:rsidTr="00A00491">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t>This field allows for different work environments and con</w:t>
            </w:r>
            <w:r w:rsidRPr="00A00491">
              <w:t>ditions that may affect performance. Essential operating conditions that may be present (depending on the work situation, needs of the candidate, accessibility of the item, and local industry and regional contexts) are included.</w:t>
            </w:r>
          </w:p>
        </w:tc>
      </w:tr>
      <w:tr w:rsidTr="00A00491">
        <w:tblPrEx>
          <w:tblW w:w="9286" w:type="dxa"/>
          <w:tblLayout w:type="fixed"/>
          <w:tblCellMar>
            <w:left w:w="62" w:type="dxa"/>
            <w:right w:w="62" w:type="dxa"/>
          </w:tblCellMar>
          <w:tblLook w:val="0000"/>
        </w:tblPrEx>
        <w:trPr>
          <w:trHeight w:val="1831"/>
        </w:trPr>
        <w:tc>
          <w:tcPr>
            <w:tcW w:w="275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rPr>
                <w:rStyle w:val="SpecialBold"/>
              </w:rPr>
              <w:t>Application and forming operations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A00491" w:rsidP="00A00491">
            <w:pPr>
              <w:pStyle w:val="ListBullet"/>
            </w:pPr>
            <w:r w:rsidRPr="00A00491">
              <w:t>lay-up practices</w:t>
            </w:r>
          </w:p>
          <w:p w:rsidR="00000000" w:rsidRPr="00A00491" w:rsidP="00A00491">
            <w:pPr>
              <w:pStyle w:val="ListBullet"/>
            </w:pPr>
            <w:r w:rsidRPr="00A00491">
              <w:t>post-curing practices</w:t>
            </w:r>
          </w:p>
          <w:p w:rsidR="00000000" w:rsidRPr="00A00491" w:rsidP="00A00491">
            <w:pPr>
              <w:pStyle w:val="ListBullet"/>
            </w:pPr>
            <w:r w:rsidRPr="00A00491">
              <w:t>core materials for stiffening application</w:t>
            </w:r>
          </w:p>
          <w:p w:rsidR="00000000" w:rsidRPr="00A00491" w:rsidP="00A00491">
            <w:pPr>
              <w:pStyle w:val="ListBullet"/>
            </w:pPr>
            <w:r w:rsidRPr="00A00491">
              <w:t>sheathing applications using resins, adhesives, sealants and fillers</w:t>
            </w:r>
          </w:p>
          <w:p w:rsidR="00000000" w:rsidP="00A00491">
            <w:pPr>
              <w:pStyle w:val="ListBullet"/>
              <w:rPr>
                <w:lang w:val="en-NZ"/>
              </w:rPr>
            </w:pPr>
            <w:r w:rsidRPr="00A00491">
              <w:t>vacuum bagging techniques, w</w:t>
            </w:r>
            <w:r w:rsidRPr="00A00491">
              <w:t>here applicable</w:t>
            </w:r>
          </w:p>
        </w:tc>
      </w:tr>
      <w:tr w:rsidTr="00A00491">
        <w:tblPrEx>
          <w:tblW w:w="9286" w:type="dxa"/>
          <w:tblLayout w:type="fixed"/>
          <w:tblCellMar>
            <w:left w:w="62" w:type="dxa"/>
            <w:right w:w="62" w:type="dxa"/>
          </w:tblCellMar>
          <w:tblLook w:val="0000"/>
        </w:tblPrEx>
        <w:trPr>
          <w:trHeight w:val="2483"/>
        </w:trPr>
        <w:tc>
          <w:tcPr>
            <w:tcW w:w="275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rPr>
                <w:rStyle w:val="SpecialBold"/>
              </w:rPr>
              <w:t>Products/components constructed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A00491" w:rsidP="00A00491">
            <w:pPr>
              <w:pStyle w:val="ListBullet"/>
            </w:pPr>
            <w:r w:rsidRPr="00A00491">
              <w:t>hull</w:t>
            </w:r>
          </w:p>
          <w:p w:rsidR="00000000" w:rsidRPr="00A00491" w:rsidP="00A00491">
            <w:pPr>
              <w:pStyle w:val="ListBullet"/>
            </w:pPr>
            <w:r w:rsidRPr="00A00491">
              <w:t>deck</w:t>
            </w:r>
          </w:p>
          <w:p w:rsidR="00000000" w:rsidRPr="00A00491" w:rsidP="00A00491">
            <w:pPr>
              <w:pStyle w:val="ListBullet"/>
            </w:pPr>
            <w:r w:rsidRPr="00A00491">
              <w:t>superstructures</w:t>
            </w:r>
          </w:p>
          <w:p w:rsidR="00000000" w:rsidRPr="00A00491" w:rsidP="00A00491">
            <w:pPr>
              <w:pStyle w:val="ListBullet"/>
            </w:pPr>
            <w:r w:rsidRPr="00A00491">
              <w:t>bulkhead and partitions</w:t>
            </w:r>
          </w:p>
          <w:p w:rsidR="00000000" w:rsidRPr="00A00491" w:rsidP="00A00491">
            <w:pPr>
              <w:pStyle w:val="ListBullet"/>
            </w:pPr>
            <w:r w:rsidRPr="00A00491">
              <w:t>transverse and longitudinal framing</w:t>
            </w:r>
          </w:p>
          <w:p w:rsidR="00000000" w:rsidRPr="00A00491" w:rsidP="00A00491">
            <w:pPr>
              <w:pStyle w:val="ListBullet"/>
            </w:pPr>
            <w:r w:rsidRPr="00A00491">
              <w:t xml:space="preserve">engine beds </w:t>
            </w:r>
          </w:p>
          <w:p w:rsidR="00000000" w:rsidP="00A00491">
            <w:pPr>
              <w:pStyle w:val="ListBullet"/>
              <w:rPr>
                <w:lang w:val="en-NZ"/>
              </w:rPr>
            </w:pPr>
            <w:r w:rsidRPr="00A00491">
              <w:t>tanks</w:t>
            </w:r>
          </w:p>
        </w:tc>
      </w:tr>
      <w:tr w:rsidTr="00A00491">
        <w:tblPrEx>
          <w:tblW w:w="9286" w:type="dxa"/>
          <w:tblLayout w:type="fixed"/>
          <w:tblCellMar>
            <w:left w:w="62" w:type="dxa"/>
            <w:right w:w="62" w:type="dxa"/>
          </w:tblCellMar>
          <w:tblLook w:val="0000"/>
        </w:tblPrEx>
        <w:trPr>
          <w:trHeight w:val="3093"/>
        </w:trPr>
        <w:tc>
          <w:tcPr>
            <w:tcW w:w="275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rPr>
                <w:rStyle w:val="SpecialBold"/>
              </w:rPr>
              <w:t>Materials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A00491" w:rsidP="00A00491">
            <w:pPr>
              <w:pStyle w:val="ListBullet"/>
            </w:pPr>
            <w:r w:rsidRPr="00A00491">
              <w:t>types of laminating resins</w:t>
            </w:r>
          </w:p>
          <w:p w:rsidR="00000000" w:rsidRPr="00A00491" w:rsidP="00A00491">
            <w:pPr>
              <w:pStyle w:val="ListBullet"/>
            </w:pPr>
            <w:r w:rsidRPr="00A00491">
              <w:t>hardeners</w:t>
            </w:r>
          </w:p>
          <w:p w:rsidR="00000000" w:rsidRPr="00A00491" w:rsidP="00A00491">
            <w:pPr>
              <w:pStyle w:val="ListBullet"/>
            </w:pPr>
            <w:r w:rsidRPr="00A00491">
              <w:t>releasing agents</w:t>
            </w:r>
          </w:p>
          <w:p w:rsidR="00000000" w:rsidRPr="00A00491" w:rsidP="00A00491">
            <w:pPr>
              <w:pStyle w:val="ListBullet"/>
            </w:pPr>
            <w:r w:rsidRPr="00A00491">
              <w:t xml:space="preserve">pigments </w:t>
            </w:r>
          </w:p>
          <w:p w:rsidR="00000000" w:rsidRPr="00A00491" w:rsidP="00A00491">
            <w:pPr>
              <w:pStyle w:val="ListBullet"/>
            </w:pPr>
            <w:r w:rsidRPr="00A00491">
              <w:t>fillers</w:t>
            </w:r>
          </w:p>
          <w:p w:rsidR="00000000" w:rsidRPr="00A00491" w:rsidP="00A00491">
            <w:pPr>
              <w:pStyle w:val="ListBullet"/>
            </w:pPr>
            <w:r w:rsidRPr="00A00491">
              <w:t>variety of glass reinforcements and other fibres</w:t>
            </w:r>
          </w:p>
          <w:p w:rsidR="00000000" w:rsidRPr="00A00491" w:rsidP="00A00491">
            <w:pPr>
              <w:pStyle w:val="ListBullet"/>
            </w:pPr>
            <w:r w:rsidRPr="00A00491">
              <w:t>stiffening materials, including:</w:t>
            </w:r>
          </w:p>
          <w:p w:rsidR="00000000" w:rsidRPr="00A00491" w:rsidP="00A00491">
            <w:pPr>
              <w:pStyle w:val="ListBullet2"/>
            </w:pPr>
            <w:r w:rsidRPr="00A00491">
              <w:t xml:space="preserve">foams </w:t>
            </w:r>
          </w:p>
          <w:p w:rsidR="00000000" w:rsidP="00A00491">
            <w:pPr>
              <w:pStyle w:val="ListBullet2"/>
              <w:rPr>
                <w:lang w:val="en-NZ"/>
              </w:rPr>
            </w:pPr>
            <w:r w:rsidRPr="00A00491">
              <w:t>core mat</w:t>
            </w:r>
          </w:p>
        </w:tc>
      </w:tr>
      <w:tr w:rsidTr="00A00491">
        <w:tblPrEx>
          <w:tblW w:w="9286" w:type="dxa"/>
          <w:tblLayout w:type="fixed"/>
          <w:tblCellMar>
            <w:left w:w="62" w:type="dxa"/>
            <w:right w:w="62" w:type="dxa"/>
          </w:tblCellMar>
          <w:tblLook w:val="0000"/>
        </w:tblPrEx>
        <w:trPr>
          <w:trHeight w:val="3093"/>
        </w:trPr>
        <w:tc>
          <w:tcPr>
            <w:tcW w:w="2759" w:type="dxa"/>
            <w:tcBorders>
              <w:top w:val="nil"/>
              <w:left w:val="nil"/>
              <w:bottom w:val="nil"/>
              <w:right w:val="nil"/>
            </w:tcBorders>
            <w:tcMar>
              <w:top w:w="0" w:type="dxa"/>
              <w:left w:w="62" w:type="dxa"/>
              <w:bottom w:w="0" w:type="dxa"/>
              <w:right w:w="62" w:type="dxa"/>
            </w:tcMar>
          </w:tcPr>
          <w:p w:rsidR="00000000" w:rsidP="00A00491">
            <w:pPr>
              <w:pStyle w:val="BodyText"/>
              <w:rPr>
                <w:lang w:val="en-NZ"/>
              </w:rPr>
            </w:pPr>
            <w:r w:rsidRPr="00A00491">
              <w:rPr>
                <w:rStyle w:val="SpecialBold"/>
              </w:rPr>
              <w:t>Tools and equipment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A00491" w:rsidP="00A00491">
            <w:pPr>
              <w:pStyle w:val="ListBullet"/>
            </w:pPr>
            <w:r w:rsidRPr="00A00491">
              <w:t>brushes and rollers</w:t>
            </w:r>
          </w:p>
          <w:p w:rsidR="00000000" w:rsidRPr="00A00491" w:rsidP="00A00491">
            <w:pPr>
              <w:pStyle w:val="ListBullet"/>
            </w:pPr>
            <w:r w:rsidRPr="00A00491">
              <w:t>metal rollers</w:t>
            </w:r>
          </w:p>
          <w:p w:rsidR="00000000" w:rsidRPr="00A00491" w:rsidP="00A00491">
            <w:pPr>
              <w:pStyle w:val="ListBullet"/>
            </w:pPr>
            <w:r w:rsidRPr="00A00491">
              <w:t xml:space="preserve">gel coat </w:t>
            </w:r>
          </w:p>
          <w:p w:rsidR="00000000" w:rsidRPr="00A00491" w:rsidP="00A00491">
            <w:pPr>
              <w:pStyle w:val="ListBullet"/>
            </w:pPr>
            <w:r w:rsidRPr="00A00491">
              <w:t>resin depositors</w:t>
            </w:r>
          </w:p>
          <w:p w:rsidR="00000000" w:rsidRPr="00A00491" w:rsidP="00A00491">
            <w:pPr>
              <w:pStyle w:val="ListBullet"/>
            </w:pPr>
            <w:r w:rsidRPr="00A00491">
              <w:t>vacuum bagging equipment</w:t>
            </w:r>
          </w:p>
          <w:p w:rsidR="00000000" w:rsidRPr="00A00491" w:rsidP="00A00491">
            <w:pPr>
              <w:pStyle w:val="ListBullet"/>
            </w:pPr>
            <w:r w:rsidRPr="00A00491">
              <w:t>hand and power tools</w:t>
            </w:r>
          </w:p>
          <w:p w:rsidR="00000000" w:rsidRPr="00A00491" w:rsidP="00A00491">
            <w:pPr>
              <w:pStyle w:val="ListBullet"/>
            </w:pPr>
            <w:r w:rsidRPr="00A00491">
              <w:t>workshop machinery</w:t>
            </w:r>
          </w:p>
        </w:tc>
      </w:tr>
    </w:tbl>
    <w:p w:rsidR="00000000" w:rsidRPr="00A00491" w:rsidP="00A00491">
      <w:pPr>
        <w:pStyle w:val="BodyText"/>
      </w:pPr>
    </w:p>
    <w:p w:rsidR="00000000" w:rsidRPr="00A00491" w:rsidP="00A00491">
      <w:pPr>
        <w:pStyle w:val="AllowPageBreak"/>
      </w:pPr>
    </w:p>
    <w:p w:rsidR="00000000" w:rsidRPr="00A00491" w:rsidP="00A00491">
      <w:pPr>
        <w:pStyle w:val="Heading1"/>
      </w:pPr>
      <w:bookmarkStart w:id="8" w:name="O_953652"/>
      <w:bookmarkEnd w:id="8"/>
      <w:r w:rsidRPr="00A00491">
        <w:t>Unit Mapping Information</w:t>
      </w:r>
    </w:p>
    <w:p w:rsidR="00000000" w:rsidRPr="00A00491" w:rsidP="00B50B23">
      <w:pPr>
        <w:pStyle w:val="BodyText"/>
      </w:pPr>
      <w:r w:rsidRPr="00A00491">
        <w:t xml:space="preserve">Release 1. Supersedes and is equivalent to MEM25002B Form and integrate fibre-reinforced structures </w:t>
      </w:r>
    </w:p>
    <w:p w:rsidR="00000000" w:rsidRPr="00A00491" w:rsidP="00A00491">
      <w:pPr>
        <w:pStyle w:val="Heading1"/>
      </w:pPr>
      <w:bookmarkStart w:id="9" w:name="O_953645"/>
      <w:bookmarkEnd w:id="9"/>
      <w:r w:rsidRPr="00A00491">
        <w:t>Links</w:t>
      </w:r>
    </w:p>
    <w:p w:rsidR="00000000" w:rsidRPr="00A00491" w:rsidP="00B50B23">
      <w:pPr>
        <w:pStyle w:val="BodyText"/>
      </w:pPr>
      <w:r w:rsidRPr="00A0049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91114">
        <w:rPr>
          <w:rStyle w:val="Hyperlink"/>
        </w:rPr>
        <w:t>https://vetnet.gov.au/Pages/TrainingDocs.aspx?q=b7050d37-5fd0-4740-8f7d-3b7a49c10bb2</w:t>
      </w:r>
      <w:r>
        <w:fldChar w:fldCharType="end"/>
      </w:r>
    </w:p>
    <w:p w:rsidR="00000000" w:rsidRPr="00A00491" w:rsidP="00A00491"/>
    <w:sectPr w:rsidSect="00A004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1" w:rsidRPr="00B50B23" w:rsidP="00B50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23" w:rsidP="00A00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B23" w:rsidP="00A004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0B23" w:rsidP="00A00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491" w:rsidRPr="00B50B23" w:rsidP="00B50B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B23" w:rsidRPr="002D2AF8" w:rsidP="00A00491">
    <w:pPr>
      <w:pStyle w:val="Header"/>
      <w:framePr w:wrap="around"/>
    </w:pPr>
    <w:r>
      <w:fldChar w:fldCharType="begin"/>
    </w:r>
    <w:r>
      <w:instrText xml:space="preserve"> TITLE   \* MERGEFORMAT </w:instrText>
    </w:r>
    <w:r>
      <w:fldChar w:fldCharType="separate"/>
    </w:r>
    <w:r>
      <w:t>MEM25002 Form and integrate fibre-reinforced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50B23" w:rsidP="00A00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528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8F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BE1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491"/>
    <w:pPr>
      <w:spacing w:before="360" w:after="60"/>
      <w:outlineLvl w:val="0"/>
    </w:pPr>
    <w:rPr>
      <w:sz w:val="32"/>
    </w:rPr>
  </w:style>
  <w:style w:type="paragraph" w:styleId="Heading2">
    <w:name w:val="heading 2"/>
    <w:basedOn w:val="HeadingBase"/>
    <w:next w:val="BodyText"/>
    <w:link w:val="Heading2Char"/>
    <w:qFormat/>
    <w:rsid w:val="00A00491"/>
    <w:pPr>
      <w:keepLines/>
      <w:spacing w:before="240" w:after="120"/>
      <w:outlineLvl w:val="1"/>
    </w:pPr>
    <w:rPr>
      <w:sz w:val="28"/>
      <w:szCs w:val="40"/>
    </w:rPr>
  </w:style>
  <w:style w:type="paragraph" w:styleId="Heading3">
    <w:name w:val="heading 3"/>
    <w:basedOn w:val="HeadingBase"/>
    <w:next w:val="BodyText"/>
    <w:link w:val="Heading3Char"/>
    <w:qFormat/>
    <w:rsid w:val="00A00491"/>
    <w:pPr>
      <w:spacing w:before="180" w:after="120"/>
      <w:outlineLvl w:val="2"/>
    </w:pPr>
    <w:rPr>
      <w:spacing w:val="-10"/>
      <w:kern w:val="32"/>
    </w:rPr>
  </w:style>
  <w:style w:type="paragraph" w:styleId="Heading4">
    <w:name w:val="heading 4"/>
    <w:basedOn w:val="HeadingBase"/>
    <w:next w:val="BodyText"/>
    <w:link w:val="Heading4Char"/>
    <w:qFormat/>
    <w:rsid w:val="00A00491"/>
    <w:pPr>
      <w:spacing w:before="160" w:after="120"/>
      <w:outlineLvl w:val="3"/>
    </w:pPr>
    <w:rPr>
      <w:sz w:val="22"/>
    </w:rPr>
  </w:style>
  <w:style w:type="paragraph" w:styleId="Heading5">
    <w:name w:val="heading 5"/>
    <w:basedOn w:val="HeadingBase"/>
    <w:next w:val="Normal"/>
    <w:link w:val="Heading5Char"/>
    <w:qFormat/>
    <w:rsid w:val="00A00491"/>
    <w:pPr>
      <w:spacing w:before="80"/>
      <w:outlineLvl w:val="4"/>
    </w:pPr>
    <w:rPr>
      <w:color w:val="918585"/>
      <w:sz w:val="20"/>
    </w:rPr>
  </w:style>
  <w:style w:type="paragraph" w:styleId="Heading6">
    <w:name w:val="heading 6"/>
    <w:basedOn w:val="HeadingBase"/>
    <w:next w:val="Normal"/>
    <w:link w:val="Heading6Char"/>
    <w:qFormat/>
    <w:rsid w:val="00A00491"/>
    <w:pPr>
      <w:spacing w:before="60"/>
      <w:outlineLvl w:val="5"/>
    </w:pPr>
    <w:rPr>
      <w:color w:val="918585"/>
      <w:sz w:val="20"/>
    </w:rPr>
  </w:style>
  <w:style w:type="paragraph" w:styleId="Heading7">
    <w:name w:val="heading 7"/>
    <w:basedOn w:val="Normal"/>
    <w:next w:val="Normal"/>
    <w:link w:val="Heading7Char"/>
    <w:qFormat/>
    <w:rsid w:val="00A00491"/>
    <w:pPr>
      <w:ind w:left="720"/>
      <w:outlineLvl w:val="6"/>
    </w:pPr>
    <w:rPr>
      <w:i/>
    </w:rPr>
  </w:style>
  <w:style w:type="paragraph" w:styleId="Heading8">
    <w:name w:val="heading 8"/>
    <w:basedOn w:val="Normal"/>
    <w:next w:val="Normal"/>
    <w:link w:val="Heading8Char"/>
    <w:qFormat/>
    <w:rsid w:val="00A00491"/>
    <w:pPr>
      <w:ind w:left="720"/>
      <w:outlineLvl w:val="7"/>
    </w:pPr>
    <w:rPr>
      <w:i/>
    </w:rPr>
  </w:style>
  <w:style w:type="paragraph" w:styleId="Heading9">
    <w:name w:val="heading 9"/>
    <w:basedOn w:val="Normal"/>
    <w:next w:val="Normal"/>
    <w:link w:val="Heading9Char"/>
    <w:qFormat/>
    <w:rsid w:val="00A00491"/>
    <w:pPr>
      <w:ind w:left="720"/>
      <w:outlineLvl w:val="8"/>
    </w:pPr>
    <w:rPr>
      <w:i/>
    </w:rPr>
  </w:style>
  <w:style w:type="character" w:default="1" w:styleId="DefaultParagraphFont">
    <w:name w:val="Default Paragraph Font"/>
    <w:uiPriority w:val="1"/>
    <w:unhideWhenUsed/>
    <w:rsid w:val="00A00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491"/>
  </w:style>
  <w:style w:type="character" w:customStyle="1" w:styleId="Heading1Char">
    <w:name w:val="Heading 1 Char"/>
    <w:basedOn w:val="DefaultParagraphFont"/>
    <w:link w:val="Heading1"/>
    <w:rsid w:val="00A00491"/>
    <w:rPr>
      <w:rFonts w:ascii="Times New Roman" w:eastAsia="Times New Roman" w:hAnsi="Times New Roman" w:cs="Times New Roman"/>
      <w:b/>
      <w:sz w:val="32"/>
      <w:szCs w:val="20"/>
      <w:lang w:eastAsia="en-US"/>
    </w:rPr>
  </w:style>
  <w:style w:type="paragraph" w:styleId="BodyText">
    <w:name w:val="Body Text"/>
    <w:basedOn w:val="Normal"/>
    <w:link w:val="BodyTextChar"/>
    <w:rsid w:val="00A00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491"/>
    <w:rPr>
      <w:rFonts w:ascii="Times New Roman" w:eastAsia="Times New Roman" w:hAnsi="Times New Roman" w:cs="Times New Roman"/>
      <w:sz w:val="24"/>
      <w:lang w:eastAsia="en-US"/>
    </w:rPr>
  </w:style>
  <w:style w:type="paragraph" w:styleId="ListBullet">
    <w:name w:val="List Bullet"/>
    <w:basedOn w:val="List"/>
    <w:rsid w:val="00A00491"/>
    <w:pPr>
      <w:numPr>
        <w:numId w:val="12"/>
      </w:numPr>
      <w:tabs>
        <w:tab w:val="clear" w:pos="340"/>
      </w:tabs>
      <w:spacing w:before="40" w:after="40"/>
    </w:pPr>
  </w:style>
  <w:style w:type="character" w:customStyle="1" w:styleId="SpecialBold">
    <w:name w:val="Special Bold"/>
    <w:basedOn w:val="DefaultParagraphFont"/>
    <w:rsid w:val="00A00491"/>
    <w:rPr>
      <w:b/>
      <w:spacing w:val="0"/>
    </w:rPr>
  </w:style>
  <w:style w:type="paragraph" w:styleId="ListBullet2">
    <w:name w:val="List Bullet 2"/>
    <w:basedOn w:val="List2"/>
    <w:rsid w:val="00A00491"/>
    <w:pPr>
      <w:numPr>
        <w:numId w:val="13"/>
      </w:numPr>
      <w:tabs>
        <w:tab w:val="clear" w:pos="680"/>
      </w:tabs>
    </w:pPr>
  </w:style>
  <w:style w:type="paragraph" w:customStyle="1" w:styleId="SuperHeading">
    <w:name w:val="SuperHeading"/>
    <w:basedOn w:val="Normal"/>
    <w:rsid w:val="00A00491"/>
    <w:pPr>
      <w:spacing w:before="240" w:after="120"/>
      <w:outlineLvl w:val="0"/>
    </w:pPr>
    <w:rPr>
      <w:rFonts w:ascii="Times New Roman" w:hAnsi="Times New Roman"/>
      <w:b/>
      <w:sz w:val="32"/>
    </w:rPr>
  </w:style>
  <w:style w:type="paragraph" w:customStyle="1" w:styleId="AllowPageBreak">
    <w:name w:val="AllowPageBreak"/>
    <w:rsid w:val="00A00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491"/>
    <w:rPr>
      <w:rFonts w:ascii="Courier New" w:eastAsia="Times New Roman" w:hAnsi="Courier New" w:cs="Times New Roman"/>
      <w:i/>
      <w:szCs w:val="20"/>
      <w:lang w:eastAsia="en-US"/>
    </w:rPr>
  </w:style>
  <w:style w:type="paragraph" w:customStyle="1" w:styleId="HeadingBase">
    <w:name w:val="Heading Base"/>
    <w:rsid w:val="00A00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491"/>
    <w:pPr>
      <w:tabs>
        <w:tab w:val="right" w:leader="dot" w:pos="9072"/>
      </w:tabs>
      <w:ind w:left="567"/>
    </w:pPr>
    <w:rPr>
      <w:szCs w:val="22"/>
    </w:rPr>
  </w:style>
  <w:style w:type="paragraph" w:customStyle="1" w:styleId="TOCBase">
    <w:name w:val="TOC Base"/>
    <w:rsid w:val="00A00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491"/>
    <w:pPr>
      <w:tabs>
        <w:tab w:val="right" w:leader="dot" w:pos="9072"/>
      </w:tabs>
      <w:spacing w:before="40" w:after="40"/>
      <w:ind w:left="284"/>
    </w:pPr>
    <w:rPr>
      <w:rFonts w:ascii="Times New Roman" w:hAnsi="Times New Roman"/>
    </w:rPr>
  </w:style>
  <w:style w:type="paragraph" w:styleId="TOC1">
    <w:name w:val="toc 1"/>
    <w:basedOn w:val="TOCBase"/>
    <w:next w:val="Normal"/>
    <w:rsid w:val="00A00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491"/>
    <w:rPr>
      <w:rFonts w:ascii="Times New Roman" w:eastAsia="Times New Roman" w:hAnsi="Times New Roman" w:cs="Times New Roman"/>
      <w:sz w:val="16"/>
      <w:lang w:eastAsia="en-US"/>
    </w:rPr>
  </w:style>
  <w:style w:type="paragraph" w:styleId="Title">
    <w:name w:val="Title"/>
    <w:basedOn w:val="HeadingBase"/>
    <w:link w:val="TitleChar"/>
    <w:qFormat/>
    <w:rsid w:val="00A00491"/>
    <w:pPr>
      <w:spacing w:before="5040"/>
      <w:jc w:val="center"/>
    </w:pPr>
    <w:rPr>
      <w:sz w:val="48"/>
      <w:szCs w:val="72"/>
      <w:lang w:val="en-US"/>
    </w:rPr>
  </w:style>
  <w:style w:type="character" w:customStyle="1" w:styleId="TitleChar">
    <w:name w:val="Title Char"/>
    <w:basedOn w:val="DefaultParagraphFont"/>
    <w:link w:val="Title"/>
    <w:rsid w:val="00A00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491"/>
    <w:pPr>
      <w:tabs>
        <w:tab w:val="left" w:pos="3600"/>
        <w:tab w:val="left" w:pos="3958"/>
      </w:tabs>
    </w:pPr>
  </w:style>
  <w:style w:type="paragraph" w:styleId="List">
    <w:name w:val="List"/>
    <w:basedOn w:val="BodyText"/>
    <w:next w:val="BodyText"/>
    <w:rsid w:val="00A00491"/>
    <w:pPr>
      <w:tabs>
        <w:tab w:val="left" w:pos="340"/>
      </w:tabs>
      <w:spacing w:before="60" w:after="60"/>
      <w:ind w:left="340" w:hanging="340"/>
    </w:pPr>
  </w:style>
  <w:style w:type="paragraph" w:customStyle="1" w:styleId="Note">
    <w:name w:val="Note"/>
    <w:basedOn w:val="BodyText"/>
    <w:rsid w:val="00A00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491"/>
    <w:pPr>
      <w:framePr w:wrap="auto" w:hAnchor="text" w:y="6049"/>
    </w:pPr>
    <w:rPr>
      <w:color w:val="000000"/>
      <w:sz w:val="40"/>
    </w:rPr>
  </w:style>
  <w:style w:type="paragraph" w:customStyle="1" w:styleId="TOCTitle">
    <w:name w:val="TOCTitle"/>
    <w:basedOn w:val="Heading1"/>
    <w:rsid w:val="00A00491"/>
    <w:pPr>
      <w:spacing w:after="240"/>
      <w:jc w:val="center"/>
      <w:outlineLvl w:val="9"/>
    </w:pPr>
    <w:rPr>
      <w:caps/>
    </w:rPr>
  </w:style>
  <w:style w:type="paragraph" w:customStyle="1" w:styleId="Version">
    <w:name w:val="Version"/>
    <w:rsid w:val="00A004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491"/>
    <w:pPr>
      <w:keepNext w:val="0"/>
      <w:tabs>
        <w:tab w:val="right" w:pos="4176"/>
      </w:tabs>
      <w:ind w:left="198" w:hanging="198"/>
    </w:pPr>
    <w:rPr>
      <w:rFonts w:ascii="Garamond" w:hAnsi="Garamond"/>
    </w:rPr>
  </w:style>
  <w:style w:type="paragraph" w:styleId="IndexHeading">
    <w:name w:val="index heading"/>
    <w:basedOn w:val="Normal"/>
    <w:next w:val="Index1"/>
    <w:semiHidden/>
    <w:rsid w:val="00A00491"/>
    <w:pPr>
      <w:spacing w:before="120" w:after="120"/>
    </w:pPr>
    <w:rPr>
      <w:rFonts w:ascii="Arial" w:hAnsi="Arial"/>
      <w:b/>
      <w:color w:val="918585"/>
      <w:sz w:val="24"/>
    </w:rPr>
  </w:style>
  <w:style w:type="paragraph" w:styleId="Header">
    <w:name w:val="header"/>
    <w:basedOn w:val="Normal"/>
    <w:link w:val="HeaderChar"/>
    <w:rsid w:val="00A00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491"/>
    <w:rPr>
      <w:rFonts w:ascii="Times New Roman" w:eastAsia="Times New Roman" w:hAnsi="Times New Roman" w:cs="Times New Roman"/>
      <w:sz w:val="16"/>
      <w:szCs w:val="20"/>
      <w:lang w:val="en-GB" w:eastAsia="en-US"/>
    </w:rPr>
  </w:style>
  <w:style w:type="paragraph" w:customStyle="1" w:styleId="Chapter">
    <w:name w:val="Chapter"/>
    <w:basedOn w:val="Normal"/>
    <w:rsid w:val="00A00491"/>
    <w:pPr>
      <w:spacing w:before="240"/>
    </w:pPr>
    <w:rPr>
      <w:rFonts w:ascii="Times New Roman" w:hAnsi="Times New Roman"/>
      <w:smallCaps/>
      <w:spacing w:val="80"/>
      <w:sz w:val="28"/>
    </w:rPr>
  </w:style>
  <w:style w:type="paragraph" w:customStyle="1" w:styleId="InChapter">
    <w:name w:val="InChapter"/>
    <w:basedOn w:val="Heading3"/>
    <w:rsid w:val="00A00491"/>
    <w:pPr>
      <w:spacing w:after="240"/>
      <w:outlineLvl w:val="9"/>
    </w:pPr>
    <w:rPr>
      <w:noProof/>
    </w:rPr>
  </w:style>
  <w:style w:type="paragraph" w:styleId="Index2">
    <w:name w:val="index 2"/>
    <w:basedOn w:val="Normal"/>
    <w:next w:val="Normal"/>
    <w:semiHidden/>
    <w:rsid w:val="00A00491"/>
    <w:pPr>
      <w:tabs>
        <w:tab w:val="right" w:pos="4176"/>
      </w:tabs>
      <w:ind w:left="568" w:hanging="284"/>
    </w:pPr>
    <w:rPr>
      <w:rFonts w:ascii="Garamond" w:hAnsi="Garamond"/>
    </w:rPr>
  </w:style>
  <w:style w:type="paragraph" w:customStyle="1" w:styleId="Byline">
    <w:name w:val="Byline"/>
    <w:rsid w:val="00A00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491"/>
    <w:pPr>
      <w:tabs>
        <w:tab w:val="clear" w:pos="3600"/>
        <w:tab w:val="clear" w:pos="3958"/>
      </w:tabs>
      <w:jc w:val="right"/>
    </w:pPr>
  </w:style>
  <w:style w:type="character" w:styleId="Emphasis">
    <w:name w:val="Emphasis"/>
    <w:basedOn w:val="DefaultParagraphFont"/>
    <w:qFormat/>
    <w:rsid w:val="00A00491"/>
    <w:rPr>
      <w:i/>
    </w:rPr>
  </w:style>
  <w:style w:type="paragraph" w:styleId="Caption">
    <w:name w:val="caption"/>
    <w:basedOn w:val="BodyText"/>
    <w:next w:val="Normal"/>
    <w:qFormat/>
    <w:rsid w:val="00A00491"/>
    <w:pPr>
      <w:framePr w:w="2268" w:hSpace="181" w:vSpace="181" w:wrap="around" w:vAnchor="text" w:hAnchor="page" w:x="1135" w:y="285" w:anchorLock="1"/>
    </w:pPr>
    <w:rPr>
      <w:i/>
    </w:rPr>
  </w:style>
  <w:style w:type="paragraph" w:customStyle="1" w:styleId="MiniTOCTitle">
    <w:name w:val="MiniTOCTitle"/>
    <w:basedOn w:val="Heading4"/>
    <w:rsid w:val="00A00491"/>
    <w:pPr>
      <w:spacing w:before="240"/>
      <w:outlineLvl w:val="9"/>
    </w:pPr>
    <w:rPr>
      <w:noProof/>
      <w:sz w:val="24"/>
    </w:rPr>
  </w:style>
  <w:style w:type="paragraph" w:customStyle="1" w:styleId="MiniTOCItem">
    <w:name w:val="MiniTOCItem"/>
    <w:basedOn w:val="ListBullet"/>
    <w:rsid w:val="00A00491"/>
    <w:pPr>
      <w:numPr>
        <w:numId w:val="0"/>
      </w:numPr>
      <w:tabs>
        <w:tab w:val="right" w:leader="dot" w:pos="6521"/>
      </w:tabs>
      <w:spacing w:before="0" w:after="0"/>
    </w:pPr>
  </w:style>
  <w:style w:type="paragraph" w:customStyle="1" w:styleId="TOFTitle">
    <w:name w:val="TOFTitle"/>
    <w:basedOn w:val="TOCTitle"/>
    <w:rsid w:val="00A00491"/>
  </w:style>
  <w:style w:type="paragraph" w:styleId="TableofFigures">
    <w:name w:val="table of figures"/>
    <w:basedOn w:val="Normal"/>
    <w:next w:val="Normal"/>
    <w:semiHidden/>
    <w:rsid w:val="00A00491"/>
    <w:pPr>
      <w:tabs>
        <w:tab w:val="right" w:leader="dot" w:pos="9072"/>
      </w:tabs>
      <w:ind w:left="970" w:hanging="403"/>
    </w:pPr>
    <w:rPr>
      <w:rFonts w:ascii="Times New Roman" w:hAnsi="Times New Roman"/>
      <w:b/>
    </w:rPr>
  </w:style>
  <w:style w:type="paragraph" w:styleId="ListNumber">
    <w:name w:val="List Number"/>
    <w:basedOn w:val="List"/>
    <w:rsid w:val="00A00491"/>
    <w:pPr>
      <w:numPr>
        <w:numId w:val="15"/>
      </w:numPr>
      <w:tabs>
        <w:tab w:val="clear" w:pos="340"/>
      </w:tabs>
    </w:pPr>
  </w:style>
  <w:style w:type="character" w:customStyle="1" w:styleId="WingdingSymbols">
    <w:name w:val="Wingding Symbols"/>
    <w:rsid w:val="00A00491"/>
    <w:rPr>
      <w:rFonts w:ascii="Wingdings" w:hAnsi="Wingdings"/>
    </w:rPr>
  </w:style>
  <w:style w:type="paragraph" w:customStyle="1" w:styleId="TableHeading">
    <w:name w:val="Table Heading"/>
    <w:basedOn w:val="HeadingBase"/>
    <w:rsid w:val="00A00491"/>
    <w:pPr>
      <w:keepLines/>
      <w:pBdr>
        <w:bottom w:val="single" w:sz="6" w:space="1" w:color="918585"/>
      </w:pBdr>
      <w:spacing w:before="240"/>
    </w:pPr>
  </w:style>
  <w:style w:type="character" w:customStyle="1" w:styleId="HotSpot">
    <w:name w:val="HotSpot"/>
    <w:rsid w:val="00A00491"/>
    <w:rPr>
      <w:color w:val="0033CC"/>
      <w:u w:val="none"/>
    </w:rPr>
  </w:style>
  <w:style w:type="paragraph" w:customStyle="1" w:styleId="BodyTextRight">
    <w:name w:val="Body Text Right"/>
    <w:basedOn w:val="BodyText"/>
    <w:rsid w:val="00A00491"/>
    <w:pPr>
      <w:spacing w:before="0" w:after="0"/>
      <w:jc w:val="right"/>
    </w:pPr>
  </w:style>
  <w:style w:type="paragraph" w:styleId="Index3">
    <w:name w:val="index 3"/>
    <w:basedOn w:val="ListNumber2"/>
    <w:next w:val="Normal"/>
    <w:semiHidden/>
    <w:rsid w:val="00A00491"/>
    <w:pPr>
      <w:numPr>
        <w:numId w:val="0"/>
      </w:numPr>
      <w:tabs>
        <w:tab w:val="right" w:leader="dot" w:pos="4176"/>
      </w:tabs>
    </w:pPr>
  </w:style>
  <w:style w:type="paragraph" w:styleId="ListNumber2">
    <w:name w:val="List Number 2"/>
    <w:basedOn w:val="List2"/>
    <w:rsid w:val="00A00491"/>
    <w:pPr>
      <w:numPr>
        <w:numId w:val="10"/>
      </w:numPr>
      <w:tabs>
        <w:tab w:val="clear" w:pos="1060"/>
      </w:tabs>
    </w:pPr>
  </w:style>
  <w:style w:type="paragraph" w:customStyle="1" w:styleId="MarginNote">
    <w:name w:val="Margin Note"/>
    <w:basedOn w:val="BodyText"/>
    <w:rsid w:val="00A00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491"/>
    <w:rPr>
      <w:sz w:val="32"/>
    </w:rPr>
  </w:style>
  <w:style w:type="paragraph" w:customStyle="1" w:styleId="HeadingProcedure">
    <w:name w:val="Heading Procedure"/>
    <w:basedOn w:val="HeadingBase"/>
    <w:next w:val="Normal"/>
    <w:rsid w:val="00A00491"/>
    <w:pPr>
      <w:tabs>
        <w:tab w:val="left" w:pos="0"/>
      </w:tabs>
      <w:spacing w:before="120" w:after="60"/>
    </w:pPr>
    <w:rPr>
      <w:i/>
      <w:color w:val="918585"/>
      <w:sz w:val="22"/>
    </w:rPr>
  </w:style>
  <w:style w:type="paragraph" w:customStyle="1" w:styleId="TableBodyText">
    <w:name w:val="Table Body Text"/>
    <w:basedOn w:val="BodyText"/>
    <w:rsid w:val="00A00491"/>
    <w:pPr>
      <w:spacing w:before="60" w:after="60"/>
    </w:pPr>
  </w:style>
  <w:style w:type="paragraph" w:styleId="ListContinue">
    <w:name w:val="List Continue"/>
    <w:basedOn w:val="List"/>
    <w:rsid w:val="00A00491"/>
    <w:pPr>
      <w:ind w:firstLine="0"/>
    </w:pPr>
  </w:style>
  <w:style w:type="paragraph" w:customStyle="1" w:styleId="ListNote">
    <w:name w:val="List Note"/>
    <w:basedOn w:val="List"/>
    <w:rsid w:val="00A00491"/>
    <w:pPr>
      <w:pBdr>
        <w:top w:val="single" w:sz="6" w:space="2" w:color="918585"/>
        <w:bottom w:val="single" w:sz="6" w:space="2" w:color="918585"/>
      </w:pBdr>
      <w:tabs>
        <w:tab w:val="left" w:pos="1021"/>
      </w:tabs>
      <w:ind w:firstLine="0"/>
    </w:pPr>
  </w:style>
  <w:style w:type="paragraph" w:customStyle="1" w:styleId="Warning">
    <w:name w:val="Warning"/>
    <w:basedOn w:val="BodyText"/>
    <w:rsid w:val="00A00491"/>
    <w:pPr>
      <w:shd w:val="clear" w:color="auto" w:fill="D9D9D9"/>
      <w:tabs>
        <w:tab w:val="left" w:pos="992"/>
      </w:tabs>
      <w:ind w:left="119" w:right="119"/>
    </w:pPr>
    <w:rPr>
      <w:sz w:val="20"/>
    </w:rPr>
  </w:style>
  <w:style w:type="paragraph" w:customStyle="1" w:styleId="MarginIcons">
    <w:name w:val="Margin Icons"/>
    <w:basedOn w:val="BodyText"/>
    <w:rsid w:val="00A00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491"/>
    <w:rPr>
      <w:rFonts w:ascii="Courier New" w:hAnsi="Courier New"/>
    </w:rPr>
  </w:style>
  <w:style w:type="paragraph" w:customStyle="1" w:styleId="NoteBullet">
    <w:name w:val="Note Bullet"/>
    <w:basedOn w:val="Note"/>
    <w:rsid w:val="00A00491"/>
    <w:pPr>
      <w:tabs>
        <w:tab w:val="clear" w:pos="680"/>
      </w:tabs>
      <w:spacing w:before="60" w:after="60"/>
    </w:pPr>
  </w:style>
  <w:style w:type="paragraph" w:customStyle="1" w:styleId="SubHeading2">
    <w:name w:val="SubHeading2"/>
    <w:basedOn w:val="HeadingBase"/>
    <w:rsid w:val="00A00491"/>
    <w:pPr>
      <w:spacing w:before="240" w:after="60"/>
    </w:pPr>
    <w:rPr>
      <w:sz w:val="20"/>
    </w:rPr>
  </w:style>
  <w:style w:type="paragraph" w:customStyle="1" w:styleId="SubHeading1">
    <w:name w:val="SubHeading1"/>
    <w:basedOn w:val="HeadingBase"/>
    <w:rsid w:val="00A00491"/>
    <w:pPr>
      <w:spacing w:before="240" w:after="60"/>
    </w:pPr>
    <w:rPr>
      <w:color w:val="918585"/>
      <w:sz w:val="22"/>
    </w:rPr>
  </w:style>
  <w:style w:type="paragraph" w:customStyle="1" w:styleId="SideHeading">
    <w:name w:val="Side Heading"/>
    <w:basedOn w:val="HeadingBase"/>
    <w:rsid w:val="00A00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491"/>
    <w:pPr>
      <w:tabs>
        <w:tab w:val="num" w:pos="360"/>
      </w:tabs>
    </w:pPr>
  </w:style>
  <w:style w:type="paragraph" w:styleId="PlainText">
    <w:name w:val="Plain Text"/>
    <w:basedOn w:val="Normal"/>
    <w:link w:val="PlainTextChar"/>
    <w:rsid w:val="00A00491"/>
    <w:rPr>
      <w:sz w:val="20"/>
    </w:rPr>
  </w:style>
  <w:style w:type="character" w:customStyle="1" w:styleId="PlainTextChar">
    <w:name w:val="Plain Text Char"/>
    <w:basedOn w:val="DefaultParagraphFont"/>
    <w:link w:val="PlainText"/>
    <w:rsid w:val="00A00491"/>
    <w:rPr>
      <w:rFonts w:ascii="Courier New" w:eastAsia="Times New Roman" w:hAnsi="Courier New" w:cs="Times New Roman"/>
      <w:sz w:val="20"/>
      <w:szCs w:val="20"/>
      <w:lang w:eastAsia="en-US"/>
    </w:rPr>
  </w:style>
  <w:style w:type="character" w:customStyle="1" w:styleId="MenuOption">
    <w:name w:val="Menu Option"/>
    <w:basedOn w:val="DefaultParagraphFont"/>
    <w:rsid w:val="00A00491"/>
    <w:rPr>
      <w:b/>
      <w:smallCaps/>
    </w:rPr>
  </w:style>
  <w:style w:type="paragraph" w:customStyle="1" w:styleId="TableListNumber">
    <w:name w:val="Table List Number"/>
    <w:basedOn w:val="ListNumber"/>
    <w:rsid w:val="00A00491"/>
    <w:pPr>
      <w:numPr>
        <w:numId w:val="0"/>
      </w:numPr>
    </w:pPr>
  </w:style>
  <w:style w:type="paragraph" w:styleId="TOC4">
    <w:name w:val="toc 4"/>
    <w:basedOn w:val="TOCBase"/>
    <w:next w:val="Normal"/>
    <w:semiHidden/>
    <w:rsid w:val="00A00491"/>
    <w:pPr>
      <w:tabs>
        <w:tab w:val="right" w:leader="dot" w:pos="9071"/>
      </w:tabs>
      <w:ind w:left="1701"/>
    </w:pPr>
  </w:style>
  <w:style w:type="paragraph" w:customStyle="1" w:styleId="ListAlpha">
    <w:name w:val="List Alpha"/>
    <w:basedOn w:val="List"/>
    <w:rsid w:val="00A00491"/>
    <w:pPr>
      <w:numPr>
        <w:numId w:val="9"/>
      </w:numPr>
    </w:pPr>
  </w:style>
  <w:style w:type="paragraph" w:customStyle="1" w:styleId="ListAlpha2">
    <w:name w:val="List Alpha 2"/>
    <w:basedOn w:val="List2"/>
    <w:rsid w:val="00A00491"/>
    <w:pPr>
      <w:numPr>
        <w:numId w:val="8"/>
      </w:numPr>
    </w:pPr>
  </w:style>
  <w:style w:type="paragraph" w:styleId="List2">
    <w:name w:val="List 2"/>
    <w:basedOn w:val="BodyText"/>
    <w:rsid w:val="00A00491"/>
    <w:pPr>
      <w:tabs>
        <w:tab w:val="left" w:pos="680"/>
      </w:tabs>
      <w:spacing w:before="60" w:after="60"/>
      <w:ind w:left="680" w:hanging="340"/>
    </w:pPr>
  </w:style>
  <w:style w:type="paragraph" w:styleId="List3">
    <w:name w:val="List 3"/>
    <w:basedOn w:val="BodyText"/>
    <w:rsid w:val="00A00491"/>
    <w:pPr>
      <w:tabs>
        <w:tab w:val="left" w:pos="1021"/>
      </w:tabs>
      <w:spacing w:before="60" w:after="60"/>
      <w:ind w:left="1020" w:hanging="340"/>
    </w:pPr>
  </w:style>
  <w:style w:type="paragraph" w:styleId="List4">
    <w:name w:val="List 4"/>
    <w:basedOn w:val="BodyText"/>
    <w:rsid w:val="00A00491"/>
    <w:pPr>
      <w:tabs>
        <w:tab w:val="left" w:pos="1361"/>
      </w:tabs>
      <w:spacing w:before="60" w:after="60"/>
      <w:ind w:left="1361" w:hanging="340"/>
    </w:pPr>
  </w:style>
  <w:style w:type="paragraph" w:styleId="List5">
    <w:name w:val="List 5"/>
    <w:basedOn w:val="BodyText"/>
    <w:rsid w:val="00A00491"/>
    <w:pPr>
      <w:tabs>
        <w:tab w:val="left" w:pos="1701"/>
      </w:tabs>
      <w:spacing w:before="60" w:after="60"/>
      <w:ind w:left="1701" w:hanging="340"/>
    </w:pPr>
  </w:style>
  <w:style w:type="paragraph" w:styleId="ListBullet3">
    <w:name w:val="List Bullet 3"/>
    <w:basedOn w:val="List3"/>
    <w:rsid w:val="00A00491"/>
    <w:pPr>
      <w:numPr>
        <w:numId w:val="14"/>
      </w:numPr>
      <w:tabs>
        <w:tab w:val="clear" w:pos="1021"/>
      </w:tabs>
      <w:ind w:left="1037" w:hanging="357"/>
    </w:pPr>
  </w:style>
  <w:style w:type="paragraph" w:styleId="ListBullet4">
    <w:name w:val="List Bullet 4"/>
    <w:basedOn w:val="List4"/>
    <w:rsid w:val="00A00491"/>
    <w:pPr>
      <w:numPr>
        <w:numId w:val="3"/>
      </w:numPr>
      <w:tabs>
        <w:tab w:val="clear" w:pos="1361"/>
      </w:tabs>
    </w:pPr>
  </w:style>
  <w:style w:type="paragraph" w:styleId="ListBullet5">
    <w:name w:val="List Bullet 5"/>
    <w:basedOn w:val="List5"/>
    <w:rsid w:val="00A00491"/>
    <w:pPr>
      <w:numPr>
        <w:numId w:val="4"/>
      </w:numPr>
    </w:pPr>
  </w:style>
  <w:style w:type="paragraph" w:styleId="ListContinue2">
    <w:name w:val="List Continue 2"/>
    <w:basedOn w:val="List2"/>
    <w:rsid w:val="00A00491"/>
    <w:pPr>
      <w:ind w:firstLine="0"/>
    </w:pPr>
  </w:style>
  <w:style w:type="paragraph" w:styleId="ListContinue3">
    <w:name w:val="List Continue 3"/>
    <w:basedOn w:val="List3"/>
    <w:rsid w:val="00A00491"/>
    <w:pPr>
      <w:ind w:left="1021" w:firstLine="0"/>
    </w:pPr>
  </w:style>
  <w:style w:type="paragraph" w:styleId="ListContinue4">
    <w:name w:val="List Continue 4"/>
    <w:basedOn w:val="List4"/>
    <w:rsid w:val="00A00491"/>
    <w:pPr>
      <w:ind w:firstLine="0"/>
    </w:pPr>
  </w:style>
  <w:style w:type="paragraph" w:styleId="ListContinue5">
    <w:name w:val="List Continue 5"/>
    <w:basedOn w:val="List5"/>
    <w:rsid w:val="00A00491"/>
    <w:pPr>
      <w:ind w:firstLine="0"/>
    </w:pPr>
  </w:style>
  <w:style w:type="paragraph" w:styleId="ListNumber3">
    <w:name w:val="List Number 3"/>
    <w:basedOn w:val="List3"/>
    <w:rsid w:val="00A00491"/>
    <w:pPr>
      <w:numPr>
        <w:numId w:val="5"/>
      </w:numPr>
    </w:pPr>
  </w:style>
  <w:style w:type="paragraph" w:styleId="ListNumber4">
    <w:name w:val="List Number 4"/>
    <w:basedOn w:val="List4"/>
    <w:rsid w:val="00A00491"/>
    <w:pPr>
      <w:numPr>
        <w:numId w:val="6"/>
      </w:numPr>
    </w:pPr>
  </w:style>
  <w:style w:type="paragraph" w:styleId="ListNumber5">
    <w:name w:val="List Number 5"/>
    <w:basedOn w:val="List5"/>
    <w:rsid w:val="00A00491"/>
    <w:pPr>
      <w:numPr>
        <w:numId w:val="7"/>
      </w:numPr>
    </w:pPr>
  </w:style>
  <w:style w:type="paragraph" w:styleId="BlockText">
    <w:name w:val="Block Text"/>
    <w:basedOn w:val="Normal"/>
    <w:rsid w:val="00A00491"/>
    <w:pPr>
      <w:spacing w:after="120"/>
      <w:ind w:left="1440" w:right="1440"/>
    </w:pPr>
  </w:style>
  <w:style w:type="character" w:customStyle="1" w:styleId="Subscript">
    <w:name w:val="Subscript"/>
    <w:basedOn w:val="DefaultParagraphFont"/>
    <w:rsid w:val="00A00491"/>
    <w:rPr>
      <w:sz w:val="16"/>
      <w:vertAlign w:val="subscript"/>
    </w:rPr>
  </w:style>
  <w:style w:type="character" w:customStyle="1" w:styleId="Superscript">
    <w:name w:val="Superscript"/>
    <w:basedOn w:val="DefaultParagraphFont"/>
    <w:rsid w:val="00A00491"/>
    <w:rPr>
      <w:sz w:val="16"/>
      <w:vertAlign w:val="superscript"/>
    </w:rPr>
  </w:style>
  <w:style w:type="character" w:customStyle="1" w:styleId="Symbols">
    <w:name w:val="Symbols"/>
    <w:basedOn w:val="DefaultParagraphFont"/>
    <w:rsid w:val="00A00491"/>
    <w:rPr>
      <w:rFonts w:ascii="Symbol" w:hAnsi="Symbol"/>
    </w:rPr>
  </w:style>
  <w:style w:type="character" w:customStyle="1" w:styleId="MenuOptions">
    <w:name w:val="Menu Options"/>
    <w:basedOn w:val="DefaultParagraphFont"/>
    <w:rsid w:val="00A00491"/>
    <w:rPr>
      <w:rFonts w:ascii="Arial Narrow" w:hAnsi="Arial Narrow"/>
      <w:smallCaps/>
    </w:rPr>
  </w:style>
  <w:style w:type="character" w:customStyle="1" w:styleId="Buttons">
    <w:name w:val="Buttons"/>
    <w:basedOn w:val="DefaultParagraphFont"/>
    <w:rsid w:val="00A00491"/>
    <w:rPr>
      <w:b/>
    </w:rPr>
  </w:style>
  <w:style w:type="character" w:customStyle="1" w:styleId="Underlined">
    <w:name w:val="Underlined"/>
    <w:basedOn w:val="DefaultParagraphFont"/>
    <w:rsid w:val="00A00491"/>
    <w:rPr>
      <w:u w:val="single"/>
    </w:rPr>
  </w:style>
  <w:style w:type="paragraph" w:customStyle="1" w:styleId="TableBodyTextRight">
    <w:name w:val="Table Body Text Right"/>
    <w:basedOn w:val="TableBodyText"/>
    <w:rsid w:val="00A00491"/>
    <w:pPr>
      <w:widowControl w:val="0"/>
      <w:autoSpaceDE w:val="0"/>
      <w:autoSpaceDN w:val="0"/>
      <w:adjustRightInd w:val="0"/>
      <w:jc w:val="right"/>
    </w:pPr>
    <w:rPr>
      <w:rFonts w:cs="Arial"/>
      <w:szCs w:val="18"/>
    </w:rPr>
  </w:style>
  <w:style w:type="paragraph" w:customStyle="1" w:styleId="CopyrightText">
    <w:name w:val="Copyright Text"/>
    <w:basedOn w:val="BodyText"/>
    <w:rsid w:val="00A00491"/>
    <w:rPr>
      <w:sz w:val="18"/>
    </w:rPr>
  </w:style>
  <w:style w:type="paragraph" w:customStyle="1" w:styleId="BodySmallRight">
    <w:name w:val="Body Small Right"/>
    <w:basedOn w:val="BodyTextRight"/>
    <w:rsid w:val="00A00491"/>
    <w:rPr>
      <w:sz w:val="18"/>
      <w:szCs w:val="18"/>
    </w:rPr>
  </w:style>
  <w:style w:type="paragraph" w:customStyle="1" w:styleId="MarginEdition">
    <w:name w:val="Margin Edition"/>
    <w:basedOn w:val="MarginNote"/>
    <w:rsid w:val="00A00491"/>
    <w:pPr>
      <w:spacing w:before="0" w:after="0"/>
    </w:pPr>
    <w:rPr>
      <w:rFonts w:ascii="Times New Roman" w:hAnsi="Times New Roman"/>
      <w:color w:val="999999"/>
    </w:rPr>
  </w:style>
  <w:style w:type="paragraph" w:customStyle="1" w:styleId="Spacer">
    <w:name w:val="Spacer"/>
    <w:basedOn w:val="Normal"/>
    <w:rsid w:val="00A00491"/>
    <w:rPr>
      <w:sz w:val="2"/>
      <w:szCs w:val="2"/>
    </w:rPr>
  </w:style>
  <w:style w:type="character" w:customStyle="1" w:styleId="Small">
    <w:name w:val="Small"/>
    <w:basedOn w:val="DefaultParagraphFont"/>
    <w:rsid w:val="00A00491"/>
    <w:rPr>
      <w:sz w:val="16"/>
    </w:rPr>
  </w:style>
  <w:style w:type="paragraph" w:customStyle="1" w:styleId="WideTable">
    <w:name w:val="Wide Table"/>
    <w:basedOn w:val="Normal"/>
    <w:rsid w:val="00A00491"/>
    <w:pPr>
      <w:ind w:left="-1418"/>
    </w:pPr>
    <w:rPr>
      <w:sz w:val="2"/>
      <w:szCs w:val="2"/>
    </w:rPr>
  </w:style>
  <w:style w:type="character" w:styleId="PageNumber">
    <w:name w:val="page number"/>
    <w:basedOn w:val="DefaultParagraphFont"/>
    <w:rsid w:val="00A00491"/>
  </w:style>
  <w:style w:type="paragraph" w:styleId="Quote">
    <w:name w:val="Quote"/>
    <w:basedOn w:val="Heading1"/>
    <w:link w:val="QuoteChar"/>
    <w:qFormat/>
    <w:rsid w:val="00A00491"/>
    <w:rPr>
      <w:b w:val="0"/>
      <w:sz w:val="72"/>
      <w:szCs w:val="72"/>
      <w:lang w:val="en-NZ"/>
    </w:rPr>
  </w:style>
  <w:style w:type="character" w:customStyle="1" w:styleId="QuoteChar">
    <w:name w:val="Quote Char"/>
    <w:basedOn w:val="DefaultParagraphFont"/>
    <w:link w:val="Quote"/>
    <w:rsid w:val="00A00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491"/>
    <w:pPr>
      <w:pageBreakBefore/>
    </w:pPr>
  </w:style>
  <w:style w:type="paragraph" w:customStyle="1" w:styleId="Border">
    <w:name w:val="Border"/>
    <w:basedOn w:val="Normal"/>
    <w:qFormat/>
    <w:rsid w:val="00A00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491"/>
    <w:rPr>
      <w:b/>
      <w:bCs/>
      <w:i/>
      <w:iCs/>
      <w:color w:val="auto"/>
    </w:rPr>
  </w:style>
  <w:style w:type="paragraph" w:styleId="IntenseQuote">
    <w:name w:val="Intense Quote"/>
    <w:basedOn w:val="Normal"/>
    <w:next w:val="Normal"/>
    <w:link w:val="IntenseQuoteChar"/>
    <w:uiPriority w:val="30"/>
    <w:qFormat/>
    <w:rsid w:val="00A00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491"/>
    <w:rPr>
      <w:smallCaps/>
      <w:color w:val="auto"/>
      <w:u w:val="single"/>
    </w:rPr>
  </w:style>
  <w:style w:type="character" w:styleId="IntenseReference">
    <w:name w:val="Intense Reference"/>
    <w:basedOn w:val="DefaultParagraphFont"/>
    <w:uiPriority w:val="32"/>
    <w:qFormat/>
    <w:rsid w:val="00A00491"/>
    <w:rPr>
      <w:b/>
      <w:bCs/>
      <w:smallCaps/>
      <w:color w:val="auto"/>
      <w:spacing w:val="5"/>
      <w:u w:val="single"/>
    </w:rPr>
  </w:style>
  <w:style w:type="paragraph" w:customStyle="1" w:styleId="2ColumnHeading">
    <w:name w:val="2Column Heading"/>
    <w:basedOn w:val="BodyText"/>
    <w:qFormat/>
    <w:rsid w:val="00A00491"/>
    <w:pPr>
      <w:spacing w:after="60"/>
      <w:ind w:left="-2268"/>
    </w:pPr>
    <w:rPr>
      <w:b/>
    </w:rPr>
  </w:style>
  <w:style w:type="paragraph" w:customStyle="1" w:styleId="Heading1TOC">
    <w:name w:val="Heading1 TOC"/>
    <w:basedOn w:val="Normal"/>
    <w:qFormat/>
    <w:rsid w:val="00A00491"/>
    <w:pPr>
      <w:spacing w:before="240" w:after="120"/>
    </w:pPr>
    <w:rPr>
      <w:rFonts w:ascii="Times New Roman" w:hAnsi="Times New Roman"/>
      <w:b/>
      <w:sz w:val="32"/>
    </w:rPr>
  </w:style>
  <w:style w:type="paragraph" w:customStyle="1" w:styleId="Heading2TOC">
    <w:name w:val="Heading2 TOC"/>
    <w:basedOn w:val="Normal"/>
    <w:qFormat/>
    <w:rsid w:val="00A00491"/>
    <w:pPr>
      <w:spacing w:before="240" w:after="60"/>
    </w:pPr>
    <w:rPr>
      <w:rFonts w:ascii="Times New Roman" w:hAnsi="Times New Roman"/>
      <w:b/>
      <w:sz w:val="28"/>
    </w:rPr>
  </w:style>
  <w:style w:type="character" w:customStyle="1" w:styleId="Underline">
    <w:name w:val="Underline"/>
    <w:basedOn w:val="DefaultParagraphFont"/>
    <w:qFormat/>
    <w:rsid w:val="00A00491"/>
    <w:rPr>
      <w:u w:val="single"/>
    </w:rPr>
  </w:style>
  <w:style w:type="character" w:customStyle="1" w:styleId="BoldandItalics">
    <w:name w:val="Bold and Italics"/>
    <w:qFormat/>
    <w:rsid w:val="00A00491"/>
    <w:rPr>
      <w:b/>
      <w:i/>
      <w:u w:val="none"/>
    </w:rPr>
  </w:style>
  <w:style w:type="paragraph" w:styleId="BalloonText">
    <w:name w:val="Balloon Text"/>
    <w:basedOn w:val="Normal"/>
    <w:link w:val="BalloonTextChar"/>
    <w:rsid w:val="00A00491"/>
    <w:rPr>
      <w:rFonts w:ascii="Tahoma" w:hAnsi="Tahoma" w:cs="Tahoma"/>
      <w:sz w:val="16"/>
      <w:szCs w:val="16"/>
    </w:rPr>
  </w:style>
  <w:style w:type="character" w:customStyle="1" w:styleId="BalloonTextChar">
    <w:name w:val="Balloon Text Char"/>
    <w:basedOn w:val="DefaultParagraphFont"/>
    <w:link w:val="BalloonText"/>
    <w:rsid w:val="00A00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491"/>
    <w:rPr>
      <w:b/>
      <w:color w:val="660033"/>
      <w:spacing w:val="0"/>
    </w:rPr>
  </w:style>
  <w:style w:type="paragraph" w:customStyle="1" w:styleId="Nameditemlist">
    <w:name w:val="Named item list"/>
    <w:basedOn w:val="BodyText"/>
    <w:qFormat/>
    <w:rsid w:val="00A00491"/>
    <w:pPr>
      <w:tabs>
        <w:tab w:val="left" w:pos="2835"/>
      </w:tabs>
      <w:ind w:left="2835" w:hanging="2835"/>
    </w:pPr>
  </w:style>
  <w:style w:type="paragraph" w:customStyle="1" w:styleId="BodyTextnopadding">
    <w:name w:val="Body Text no padding"/>
    <w:basedOn w:val="BodyText"/>
    <w:qFormat/>
    <w:rsid w:val="00A00491"/>
    <w:pPr>
      <w:spacing w:before="0" w:after="0"/>
    </w:pPr>
  </w:style>
  <w:style w:type="paragraph" w:customStyle="1" w:styleId="BodyTextBold">
    <w:name w:val="Body Text Bold"/>
    <w:basedOn w:val="BodyText"/>
    <w:qFormat/>
    <w:rsid w:val="00A00491"/>
    <w:rPr>
      <w:b/>
    </w:rPr>
  </w:style>
  <w:style w:type="character" w:styleId="Hyperlink">
    <w:name w:val="Hyperlink"/>
    <w:basedOn w:val="DefaultParagraphFont"/>
    <w:uiPriority w:val="99"/>
    <w:unhideWhenUsed/>
    <w:rsid w:val="00B50B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4334</Characters>
  <Application>Microsoft Office Word</Application>
  <DocSecurity>0</DocSecurity>
  <Lines>228</Lines>
  <Paragraphs>142</Paragraphs>
  <ScaleCrop>false</ScaleCrop>
  <Company>Author-it Software Corporation Ltd.</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MEM25002 Form and integrate fibre-reinforced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2023-02-03T06:49:00Z</dcterms:created>
  <dcterms:modified xsi:type="dcterms:W3CDTF">2023-02-03T06:49:00Z</dcterms:modified>
</cp:coreProperties>
</file>