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129" w:rsidP="006B2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MEM25001 Apply fibre-reinforced materials</w:t>
      </w:r>
      <w:r>
        <w:fldChar w:fldCharType="end"/>
      </w:r>
    </w:p>
    <w:p w:rsidR="006B2129" w:rsidP="006B2129">
      <w:pPr>
        <w:pStyle w:val="Version"/>
        <w:sectPr w:rsidSect="00415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C66" w:rsidP="00415C66">
      <w:pPr>
        <w:pStyle w:val="SuperHeading"/>
      </w:pPr>
      <w:r w:rsidRPr="00415C66">
        <w:t>Assessment Requirements for MEM25001 Apply fibre-reinforced materials</w:t>
      </w:r>
    </w:p>
    <w:p w:rsidR="00000000" w:rsidRPr="00415C66" w:rsidP="00415C66">
      <w:pPr>
        <w:pStyle w:val="Heading1"/>
      </w:pPr>
      <w:bookmarkStart w:id="1" w:name="O_953628"/>
      <w:bookmarkEnd w:id="1"/>
      <w:r w:rsidRPr="00415C66">
        <w:t>Modification History</w:t>
      </w:r>
    </w:p>
    <w:p w:rsidR="00000000" w:rsidRPr="00415C66" w:rsidP="006B2129">
      <w:pPr>
        <w:pStyle w:val="BodyText"/>
      </w:pPr>
      <w:r w:rsidRPr="00415C66">
        <w:t xml:space="preserve">Release 1. Supersedes and is equivalent to MEM25001B Apply fibre-reinforced materials </w:t>
      </w:r>
    </w:p>
    <w:p w:rsidR="00000000" w:rsidRPr="00415C66" w:rsidP="00415C66">
      <w:pPr>
        <w:pStyle w:val="Heading1"/>
      </w:pPr>
      <w:bookmarkStart w:id="2" w:name="O_953631"/>
      <w:bookmarkEnd w:id="2"/>
      <w:r w:rsidRPr="00415C66">
        <w:t>Performance Evidence</w:t>
      </w:r>
    </w:p>
    <w:p w:rsidR="00000000" w:rsidRPr="00415C66" w:rsidP="006B2129">
      <w:pPr>
        <w:pStyle w:val="BodyText"/>
      </w:pPr>
      <w:r w:rsidRPr="00415C66">
        <w:t>Evidence required to demonstrate competence in this unit must be relevant to and satisfy the requirements of the elements and performance criteria on at least two (2) occasions and include:</w:t>
      </w:r>
    </w:p>
    <w:p w:rsidR="00000000" w:rsidRPr="00415C66" w:rsidP="00415C66">
      <w:pPr>
        <w:pStyle w:val="ListBullet"/>
      </w:pPr>
      <w:r w:rsidRPr="00415C66">
        <w:t>following work instructions, standard operating procedures (SOPs)</w:t>
      </w:r>
      <w:r w:rsidRPr="00415C66">
        <w:t xml:space="preserve"> and safe work practices </w:t>
      </w:r>
    </w:p>
    <w:p w:rsidR="00000000" w:rsidRPr="00415C66" w:rsidP="00415C66">
      <w:pPr>
        <w:pStyle w:val="ListBullet"/>
      </w:pPr>
      <w:r w:rsidRPr="00415C66">
        <w:t xml:space="preserve">selecting equipment for the application/forming job and setting up and operating/adjusting equipment for correct operation </w:t>
      </w:r>
    </w:p>
    <w:p w:rsidR="00000000" w:rsidRPr="00415C66" w:rsidP="00415C66">
      <w:pPr>
        <w:pStyle w:val="ListBullet"/>
      </w:pPr>
      <w:r w:rsidRPr="00415C66">
        <w:t>selecting materials to suit different operations and making allowances to suit conditions and specificatio</w:t>
      </w:r>
      <w:r w:rsidRPr="00415C66">
        <w:t>ns</w:t>
      </w:r>
    </w:p>
    <w:p w:rsidR="00000000" w:rsidRPr="00415C66" w:rsidP="00415C66">
      <w:pPr>
        <w:pStyle w:val="ListBullet"/>
      </w:pPr>
      <w:r w:rsidRPr="00415C66">
        <w:t>positioning components and applying reinforced materials and rolling/shaping material smoothing irregularities and laminating materials ensuring compliance with specifications and adjusting, as required.</w:t>
      </w:r>
    </w:p>
    <w:p w:rsidR="00000000" w:rsidRPr="00415C66" w:rsidP="00415C66">
      <w:pPr>
        <w:pStyle w:val="AllowPageBreak"/>
      </w:pPr>
    </w:p>
    <w:p w:rsidR="00000000" w:rsidRPr="00415C66" w:rsidP="00415C66">
      <w:pPr>
        <w:pStyle w:val="Heading1"/>
      </w:pPr>
      <w:bookmarkStart w:id="3" w:name="O_953630"/>
      <w:bookmarkEnd w:id="3"/>
      <w:r w:rsidRPr="00415C66">
        <w:t>Knowledge Evidence</w:t>
      </w:r>
    </w:p>
    <w:p w:rsidR="00000000" w:rsidRPr="00415C66" w:rsidP="006B2129">
      <w:pPr>
        <w:pStyle w:val="BodyText"/>
      </w:pPr>
      <w:r w:rsidRPr="00415C66">
        <w:t>Evidence requ</w:t>
      </w:r>
      <w:r w:rsidRPr="00415C66">
        <w:t>ired to demonstrate the required knowledge for this unit must be relevant to and satisfy the requirements of the elements and performance criteria and include knowledge of:</w:t>
      </w:r>
    </w:p>
    <w:p w:rsidR="00000000" w:rsidRPr="00415C66" w:rsidP="00415C66">
      <w:pPr>
        <w:pStyle w:val="ListBullet"/>
      </w:pPr>
      <w:r w:rsidRPr="00415C66">
        <w:t>safe work practices and procedures and use of personal protective equipment (PPE)</w:t>
      </w:r>
    </w:p>
    <w:p w:rsidR="00000000" w:rsidRPr="00415C66" w:rsidP="00415C66">
      <w:pPr>
        <w:pStyle w:val="ListBullet"/>
      </w:pPr>
      <w:r w:rsidRPr="00415C66">
        <w:t xml:space="preserve">tools and equipment for application/forming operations </w:t>
      </w:r>
    </w:p>
    <w:p w:rsidR="00000000" w:rsidRPr="00415C66" w:rsidP="00415C66">
      <w:pPr>
        <w:pStyle w:val="ListBullet"/>
      </w:pPr>
      <w:r w:rsidRPr="00415C66">
        <w:t>procedures for setting up and adjusting equipment</w:t>
      </w:r>
    </w:p>
    <w:p w:rsidR="00000000" w:rsidRPr="00415C66" w:rsidP="00415C66">
      <w:pPr>
        <w:pStyle w:val="ListBullet"/>
      </w:pPr>
      <w:r w:rsidRPr="00415C66">
        <w:t xml:space="preserve">terminology and information relevant to standard work instructions </w:t>
      </w:r>
    </w:p>
    <w:p w:rsidR="00000000" w:rsidRPr="00415C66" w:rsidP="00415C66">
      <w:pPr>
        <w:pStyle w:val="ListBullet"/>
      </w:pPr>
      <w:r w:rsidRPr="00415C66">
        <w:t>applicable codes and regulations</w:t>
      </w:r>
    </w:p>
    <w:p w:rsidR="00000000" w:rsidRPr="00415C66" w:rsidP="00415C66">
      <w:pPr>
        <w:pStyle w:val="ListBullet"/>
      </w:pPr>
      <w:r w:rsidRPr="00415C66">
        <w:t>different chemicals and materials and their prope</w:t>
      </w:r>
      <w:r w:rsidRPr="00415C66">
        <w:t xml:space="preserve">rties, including mixing ratios </w:t>
      </w:r>
    </w:p>
    <w:p w:rsidR="00000000" w:rsidRPr="00415C66" w:rsidP="00415C66">
      <w:pPr>
        <w:pStyle w:val="ListBullet"/>
      </w:pPr>
      <w:r w:rsidRPr="00415C66">
        <w:t>importance and relevance of thickness allowances</w:t>
      </w:r>
    </w:p>
    <w:p w:rsidR="00000000" w:rsidRPr="00415C66" w:rsidP="00415C66">
      <w:pPr>
        <w:pStyle w:val="ListBullet"/>
      </w:pPr>
      <w:r w:rsidRPr="00415C66">
        <w:t>techniques for positioning components</w:t>
      </w:r>
    </w:p>
    <w:p w:rsidR="00000000" w:rsidRPr="00415C66" w:rsidP="00415C66">
      <w:pPr>
        <w:pStyle w:val="ListBullet"/>
      </w:pPr>
      <w:r w:rsidRPr="00415C66">
        <w:t>safety requirements and start-up/shutdown/operating procedures</w:t>
      </w:r>
    </w:p>
    <w:p w:rsidR="00000000" w:rsidRPr="00415C66" w:rsidP="00415C66">
      <w:pPr>
        <w:pStyle w:val="ListBullet"/>
      </w:pPr>
      <w:r w:rsidRPr="00415C66">
        <w:t>methods for rolling and shaping and problems associated with rolling and shaping and methods for rectifying</w:t>
      </w:r>
    </w:p>
    <w:p w:rsidR="00000000" w:rsidRPr="00415C66" w:rsidP="00415C66">
      <w:pPr>
        <w:pStyle w:val="ListBullet"/>
      </w:pPr>
      <w:r w:rsidRPr="00415C66">
        <w:t xml:space="preserve">lamination sequence </w:t>
      </w:r>
    </w:p>
    <w:p w:rsidR="00000000" w:rsidRPr="00415C66" w:rsidP="00415C66">
      <w:pPr>
        <w:pStyle w:val="ListBullet"/>
      </w:pPr>
      <w:r w:rsidRPr="00415C66">
        <w:t>methods of checking final application and form.</w:t>
      </w:r>
    </w:p>
    <w:p w:rsidR="00000000" w:rsidRPr="00415C66" w:rsidP="00415C66">
      <w:pPr>
        <w:pStyle w:val="AllowPageBreak"/>
      </w:pPr>
    </w:p>
    <w:p w:rsidR="00000000" w:rsidRPr="00415C66" w:rsidP="00415C66">
      <w:pPr>
        <w:pStyle w:val="Heading1"/>
      </w:pPr>
      <w:bookmarkStart w:id="4" w:name="O_953629"/>
      <w:bookmarkEnd w:id="4"/>
      <w:r w:rsidRPr="00415C66">
        <w:t>Assessment Conditions</w:t>
      </w:r>
    </w:p>
    <w:p w:rsidR="00000000" w:rsidRPr="00415C66" w:rsidP="00415C66">
      <w:pPr>
        <w:pStyle w:val="ListBullet"/>
      </w:pPr>
      <w:r w:rsidRPr="00415C66">
        <w:t>Assessors must:</w:t>
      </w:r>
    </w:p>
    <w:p w:rsidR="00000000" w:rsidRPr="00415C66" w:rsidP="00415C66">
      <w:pPr>
        <w:pStyle w:val="ListBullet2"/>
      </w:pPr>
      <w:r w:rsidRPr="00415C66">
        <w:t>have vocational compet</w:t>
      </w:r>
      <w:r w:rsidRPr="00415C66">
        <w:t>ency in applying fibre-reinforced materials at least to the level being assessed with relevant industry knowledge and experience</w:t>
      </w:r>
    </w:p>
    <w:p w:rsidR="00000000" w:rsidRPr="00415C66" w:rsidP="00415C66">
      <w:pPr>
        <w:pStyle w:val="ListBullet2"/>
      </w:pPr>
      <w:r w:rsidRPr="00415C66">
        <w:t xml:space="preserve">satisfy the assessor requirements in the </w:t>
      </w:r>
      <w:r w:rsidRPr="00415C66">
        <w:rPr>
          <w:rStyle w:val="Emphasis"/>
        </w:rPr>
        <w:t xml:space="preserve">Standards for Registered Training Organisations 2015 </w:t>
      </w:r>
      <w:r w:rsidRPr="00415C66">
        <w:t>or its replacement</w:t>
      </w:r>
      <w:r w:rsidRPr="00415C66">
        <w:rPr>
          <w:rStyle w:val="Emphasis"/>
        </w:rPr>
        <w:t xml:space="preserve"> </w:t>
      </w:r>
      <w:r w:rsidRPr="00415C66">
        <w:t>and comply wit</w:t>
      </w:r>
      <w:r w:rsidRPr="00415C66">
        <w:t xml:space="preserve">h the </w:t>
      </w:r>
      <w:r w:rsidRPr="00415C66">
        <w:rPr>
          <w:rStyle w:val="Emphasis"/>
        </w:rPr>
        <w:t xml:space="preserve">National Vocational Education and Training Regulator Act 2011, </w:t>
      </w:r>
      <w:r w:rsidRPr="00415C66">
        <w:t>its replacement</w:t>
      </w:r>
      <w:r w:rsidRPr="00415C66">
        <w:rPr>
          <w:rStyle w:val="Emphasis"/>
        </w:rPr>
        <w:t xml:space="preserve"> </w:t>
      </w:r>
      <w:r w:rsidRPr="00415C66">
        <w:t>or equivalent legislation covering VET regulation in a non-referring state/territory as the case requires</w:t>
      </w:r>
    </w:p>
    <w:p w:rsidR="00000000" w:rsidRPr="00415C66" w:rsidP="00415C66">
      <w:pPr>
        <w:pStyle w:val="ListBullet"/>
      </w:pPr>
      <w:r w:rsidRPr="00415C66">
        <w:t>Where possible assessment must occur in operational workplace si</w:t>
      </w:r>
      <w:r w:rsidRPr="00415C66">
        <w:t>tuations. Where this is not possible or where personal safety or environmental damage are limiting factors, assessment must occur in a sufficiently rigorous simulated environment that reflects realistic operational workplace conditions. This must cover all</w:t>
      </w:r>
      <w:r w:rsidRPr="00415C66">
        <w:t xml:space="preserve"> aspects of workplace performance, including environment, task skills, task management skills, contingency management skills and job role environment skills</w:t>
      </w:r>
    </w:p>
    <w:p w:rsidR="00000000" w:rsidRPr="00415C66" w:rsidP="00415C66">
      <w:pPr>
        <w:pStyle w:val="ListBullet"/>
      </w:pPr>
      <w:r w:rsidRPr="00415C66">
        <w:t xml:space="preserve">Conditions for assessment must include access to all tools, equipment, materials and documentation </w:t>
      </w:r>
      <w:r w:rsidRPr="00415C66">
        <w:t>required, including relevant workplace procedures, product and manufacturing specifications</w:t>
      </w:r>
    </w:p>
    <w:p w:rsidR="00000000" w:rsidRPr="00415C66" w:rsidP="00415C66">
      <w:pPr>
        <w:pStyle w:val="ListBullet"/>
      </w:pPr>
      <w:r w:rsidRPr="00415C66">
        <w:t>Assessment processes and techniques must be appropriate to the language, literacy and numeracy requirements of the work being performed and the needs of the candida</w:t>
      </w:r>
      <w:r w:rsidRPr="00415C66">
        <w:t>te.</w:t>
      </w:r>
    </w:p>
    <w:p w:rsidR="00000000" w:rsidRPr="00415C66" w:rsidP="00415C66">
      <w:pPr>
        <w:pStyle w:val="AllowPageBreak"/>
      </w:pPr>
    </w:p>
    <w:p w:rsidR="00000000" w:rsidRPr="00415C66" w:rsidP="00415C66">
      <w:pPr>
        <w:pStyle w:val="Heading1"/>
      </w:pPr>
      <w:bookmarkStart w:id="5" w:name="O_953627"/>
      <w:bookmarkEnd w:id="5"/>
      <w:r w:rsidRPr="00415C66">
        <w:t>Links</w:t>
      </w:r>
    </w:p>
    <w:p w:rsidR="00000000" w:rsidRPr="00415C66" w:rsidP="006B2129">
      <w:pPr>
        <w:pStyle w:val="BodyText"/>
      </w:pPr>
      <w:r w:rsidRPr="00415C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615F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5C66" w:rsidP="00415C66"/>
    <w:sectPr w:rsidSect="00415C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66" w:rsidRPr="006B2129" w:rsidP="006B2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129" w:rsidP="00415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2129" w:rsidP="00415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2129" w:rsidP="00415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C66" w:rsidRPr="006B2129" w:rsidP="006B2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129" w:rsidRPr="002D2AF8" w:rsidP="00415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MEM25001 Apply fibre-reinforced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B2129" w:rsidP="00415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46E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060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8CE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C66"/>
  </w:style>
  <w:style w:type="character" w:customStyle="1" w:styleId="Heading1Char">
    <w:name w:val="Heading 1 Char"/>
    <w:basedOn w:val="DefaultParagraphFont"/>
    <w:link w:val="Heading1"/>
    <w:rsid w:val="00415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C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5C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5C66"/>
    <w:rPr>
      <w:i/>
    </w:rPr>
  </w:style>
  <w:style w:type="paragraph" w:customStyle="1" w:styleId="SuperHeading">
    <w:name w:val="SuperHeading"/>
    <w:basedOn w:val="Normal"/>
    <w:rsid w:val="00415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C66"/>
    <w:rPr>
      <w:b/>
      <w:spacing w:val="0"/>
    </w:rPr>
  </w:style>
  <w:style w:type="paragraph" w:customStyle="1" w:styleId="SuperTitle">
    <w:name w:val="SuperTitle"/>
    <w:basedOn w:val="Title"/>
    <w:rsid w:val="00415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C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C66"/>
  </w:style>
  <w:style w:type="paragraph" w:styleId="TableofFigures">
    <w:name w:val="table of figures"/>
    <w:basedOn w:val="Normal"/>
    <w:next w:val="Normal"/>
    <w:semiHidden/>
    <w:rsid w:val="00415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C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C66"/>
    <w:rPr>
      <w:rFonts w:ascii="Wingdings" w:hAnsi="Wingdings"/>
    </w:rPr>
  </w:style>
  <w:style w:type="paragraph" w:customStyle="1" w:styleId="TableHeading">
    <w:name w:val="Table Heading"/>
    <w:basedOn w:val="HeadingBase"/>
    <w:rsid w:val="00415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C66"/>
    <w:rPr>
      <w:color w:val="0033CC"/>
      <w:u w:val="none"/>
    </w:rPr>
  </w:style>
  <w:style w:type="paragraph" w:customStyle="1" w:styleId="BodyTextRight">
    <w:name w:val="Body Text Right"/>
    <w:basedOn w:val="BodyText"/>
    <w:rsid w:val="00415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C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C66"/>
    <w:rPr>
      <w:sz w:val="32"/>
    </w:rPr>
  </w:style>
  <w:style w:type="paragraph" w:customStyle="1" w:styleId="HeadingProcedure">
    <w:name w:val="Heading Procedure"/>
    <w:basedOn w:val="HeadingBase"/>
    <w:next w:val="Normal"/>
    <w:rsid w:val="00415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C66"/>
    <w:pPr>
      <w:spacing w:before="60" w:after="60"/>
    </w:pPr>
  </w:style>
  <w:style w:type="paragraph" w:styleId="ListContinue">
    <w:name w:val="List Continue"/>
    <w:basedOn w:val="List"/>
    <w:rsid w:val="00415C66"/>
    <w:pPr>
      <w:ind w:firstLine="0"/>
    </w:pPr>
  </w:style>
  <w:style w:type="paragraph" w:customStyle="1" w:styleId="ListNote">
    <w:name w:val="List Note"/>
    <w:basedOn w:val="List"/>
    <w:rsid w:val="00415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C66"/>
    <w:rPr>
      <w:rFonts w:ascii="Courier New" w:hAnsi="Courier New"/>
    </w:rPr>
  </w:style>
  <w:style w:type="paragraph" w:customStyle="1" w:styleId="NoteBullet">
    <w:name w:val="Note Bullet"/>
    <w:basedOn w:val="Note"/>
    <w:rsid w:val="00415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C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C66"/>
    <w:rPr>
      <w:b/>
      <w:smallCaps/>
    </w:rPr>
  </w:style>
  <w:style w:type="paragraph" w:customStyle="1" w:styleId="TableListNumber">
    <w:name w:val="Table List Number"/>
    <w:basedOn w:val="ListNumber"/>
    <w:rsid w:val="00415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C66"/>
    <w:pPr>
      <w:numPr>
        <w:numId w:val="9"/>
      </w:numPr>
    </w:pPr>
  </w:style>
  <w:style w:type="paragraph" w:customStyle="1" w:styleId="ListAlpha2">
    <w:name w:val="List Alpha 2"/>
    <w:basedOn w:val="List2"/>
    <w:rsid w:val="00415C66"/>
    <w:pPr>
      <w:numPr>
        <w:numId w:val="8"/>
      </w:numPr>
    </w:pPr>
  </w:style>
  <w:style w:type="paragraph" w:styleId="List2">
    <w:name w:val="List 2"/>
    <w:basedOn w:val="BodyText"/>
    <w:rsid w:val="00415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C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C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C66"/>
    <w:pPr>
      <w:numPr>
        <w:numId w:val="4"/>
      </w:numPr>
    </w:pPr>
  </w:style>
  <w:style w:type="paragraph" w:styleId="ListContinue2">
    <w:name w:val="List Continue 2"/>
    <w:basedOn w:val="List2"/>
    <w:rsid w:val="00415C66"/>
    <w:pPr>
      <w:ind w:firstLine="0"/>
    </w:pPr>
  </w:style>
  <w:style w:type="paragraph" w:styleId="ListContinue3">
    <w:name w:val="List Continue 3"/>
    <w:basedOn w:val="List3"/>
    <w:rsid w:val="00415C66"/>
    <w:pPr>
      <w:ind w:left="1021" w:firstLine="0"/>
    </w:pPr>
  </w:style>
  <w:style w:type="paragraph" w:styleId="ListContinue4">
    <w:name w:val="List Continue 4"/>
    <w:basedOn w:val="List4"/>
    <w:rsid w:val="00415C66"/>
    <w:pPr>
      <w:ind w:firstLine="0"/>
    </w:pPr>
  </w:style>
  <w:style w:type="paragraph" w:styleId="ListContinue5">
    <w:name w:val="List Continue 5"/>
    <w:basedOn w:val="List5"/>
    <w:rsid w:val="00415C66"/>
    <w:pPr>
      <w:ind w:firstLine="0"/>
    </w:pPr>
  </w:style>
  <w:style w:type="paragraph" w:styleId="ListNumber3">
    <w:name w:val="List Number 3"/>
    <w:basedOn w:val="List3"/>
    <w:rsid w:val="00415C66"/>
    <w:pPr>
      <w:numPr>
        <w:numId w:val="5"/>
      </w:numPr>
    </w:pPr>
  </w:style>
  <w:style w:type="paragraph" w:styleId="ListNumber4">
    <w:name w:val="List Number 4"/>
    <w:basedOn w:val="List4"/>
    <w:rsid w:val="00415C66"/>
    <w:pPr>
      <w:numPr>
        <w:numId w:val="6"/>
      </w:numPr>
    </w:pPr>
  </w:style>
  <w:style w:type="paragraph" w:styleId="ListNumber5">
    <w:name w:val="List Number 5"/>
    <w:basedOn w:val="List5"/>
    <w:rsid w:val="00415C66"/>
    <w:pPr>
      <w:numPr>
        <w:numId w:val="7"/>
      </w:numPr>
    </w:pPr>
  </w:style>
  <w:style w:type="paragraph" w:styleId="BlockText">
    <w:name w:val="Block Text"/>
    <w:basedOn w:val="Normal"/>
    <w:rsid w:val="00415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C66"/>
    <w:rPr>
      <w:sz w:val="16"/>
      <w:vertAlign w:val="superscript"/>
    </w:rPr>
  </w:style>
  <w:style w:type="character" w:customStyle="1" w:styleId="Symbols">
    <w:name w:val="Symbols"/>
    <w:basedOn w:val="DefaultParagraphFont"/>
    <w:rsid w:val="00415C66"/>
    <w:rPr>
      <w:rFonts w:ascii="Symbol" w:hAnsi="Symbol"/>
    </w:rPr>
  </w:style>
  <w:style w:type="character" w:customStyle="1" w:styleId="MenuOptions">
    <w:name w:val="Menu Options"/>
    <w:basedOn w:val="DefaultParagraphFont"/>
    <w:rsid w:val="00415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C66"/>
    <w:rPr>
      <w:b/>
    </w:rPr>
  </w:style>
  <w:style w:type="character" w:customStyle="1" w:styleId="Underlined">
    <w:name w:val="Underlined"/>
    <w:basedOn w:val="DefaultParagraphFont"/>
    <w:rsid w:val="00415C66"/>
    <w:rPr>
      <w:u w:val="single"/>
    </w:rPr>
  </w:style>
  <w:style w:type="paragraph" w:customStyle="1" w:styleId="TableBodyTextRight">
    <w:name w:val="Table Body Text Right"/>
    <w:basedOn w:val="TableBodyText"/>
    <w:rsid w:val="00415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C66"/>
    <w:rPr>
      <w:sz w:val="18"/>
    </w:rPr>
  </w:style>
  <w:style w:type="paragraph" w:customStyle="1" w:styleId="BodySmallRight">
    <w:name w:val="Body Small Right"/>
    <w:basedOn w:val="BodyTextRight"/>
    <w:rsid w:val="00415C66"/>
    <w:rPr>
      <w:sz w:val="18"/>
      <w:szCs w:val="18"/>
    </w:rPr>
  </w:style>
  <w:style w:type="paragraph" w:customStyle="1" w:styleId="MarginEdition">
    <w:name w:val="Margin Edition"/>
    <w:basedOn w:val="MarginNote"/>
    <w:rsid w:val="00415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C66"/>
    <w:rPr>
      <w:sz w:val="2"/>
      <w:szCs w:val="2"/>
    </w:rPr>
  </w:style>
  <w:style w:type="character" w:customStyle="1" w:styleId="Small">
    <w:name w:val="Small"/>
    <w:basedOn w:val="DefaultParagraphFont"/>
    <w:rsid w:val="00415C66"/>
    <w:rPr>
      <w:sz w:val="16"/>
    </w:rPr>
  </w:style>
  <w:style w:type="paragraph" w:customStyle="1" w:styleId="WideTable">
    <w:name w:val="Wide Table"/>
    <w:basedOn w:val="Normal"/>
    <w:rsid w:val="00415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C66"/>
  </w:style>
  <w:style w:type="paragraph" w:styleId="Quote">
    <w:name w:val="Quote"/>
    <w:basedOn w:val="Heading1"/>
    <w:link w:val="QuoteChar"/>
    <w:qFormat/>
    <w:rsid w:val="00415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C66"/>
    <w:pPr>
      <w:pageBreakBefore/>
    </w:pPr>
  </w:style>
  <w:style w:type="paragraph" w:customStyle="1" w:styleId="Border">
    <w:name w:val="Border"/>
    <w:basedOn w:val="Normal"/>
    <w:qFormat/>
    <w:rsid w:val="00415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C66"/>
    <w:rPr>
      <w:u w:val="single"/>
    </w:rPr>
  </w:style>
  <w:style w:type="character" w:customStyle="1" w:styleId="BoldandItalics">
    <w:name w:val="Bold and Italics"/>
    <w:qFormat/>
    <w:rsid w:val="00415C66"/>
    <w:rPr>
      <w:b/>
      <w:i/>
      <w:u w:val="none"/>
    </w:rPr>
  </w:style>
  <w:style w:type="paragraph" w:styleId="BalloonText">
    <w:name w:val="Balloon Text"/>
    <w:basedOn w:val="Normal"/>
    <w:link w:val="BalloonTextChar"/>
    <w:rsid w:val="00415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C66"/>
    <w:pPr>
      <w:spacing w:before="0" w:after="0"/>
    </w:pPr>
  </w:style>
  <w:style w:type="paragraph" w:customStyle="1" w:styleId="BodyTextBold">
    <w:name w:val="Body Text Bold"/>
    <w:basedOn w:val="BodyText"/>
    <w:qFormat/>
    <w:rsid w:val="00415C66"/>
    <w:rPr>
      <w:b/>
    </w:rPr>
  </w:style>
  <w:style w:type="character" w:styleId="Hyperlink">
    <w:name w:val="Hyperlink"/>
    <w:basedOn w:val="DefaultParagraphFont"/>
    <w:uiPriority w:val="99"/>
    <w:unhideWhenUsed/>
    <w:rsid w:val="006B2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3122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MEM25001 Apply fibre-reinforced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2023-02-03T07:04:00Z</dcterms:created>
  <dcterms:modified xsi:type="dcterms:W3CDTF">2023-02-03T07:04:00Z</dcterms:modified>
</cp:coreProperties>
</file>