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E37" w:rsidP="00910E37">
      <w:pPr>
        <w:pStyle w:val="Title"/>
      </w:pPr>
      <w:r>
        <w:fldChar w:fldCharType="begin"/>
      </w:r>
      <w:r>
        <w:instrText xml:space="preserve"> TITLE   \* MERGEFORMAT </w:instrText>
      </w:r>
      <w:r>
        <w:fldChar w:fldCharType="separate"/>
      </w:r>
      <w:r>
        <w:t>MEM24019 Apply codes and standards to non-destructive testing</w:t>
      </w:r>
      <w:r>
        <w:fldChar w:fldCharType="end"/>
      </w:r>
    </w:p>
    <w:p w:rsidR="00910E37" w:rsidP="00910E37">
      <w:pPr>
        <w:pStyle w:val="Version"/>
        <w:sectPr w:rsidSect="00126E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EF1" w:rsidP="00126EF1">
      <w:pPr>
        <w:pStyle w:val="SuperHeading"/>
      </w:pPr>
      <w:r w:rsidRPr="00126EF1">
        <w:t>MEM24019 Apply codes and standards to non-destructive testing</w:t>
      </w:r>
    </w:p>
    <w:p w:rsidR="00000000" w:rsidRPr="00126EF1" w:rsidP="00126EF1">
      <w:pPr>
        <w:pStyle w:val="Heading1"/>
      </w:pPr>
      <w:bookmarkStart w:id="1" w:name="O_1274098"/>
      <w:bookmarkEnd w:id="1"/>
      <w:r w:rsidRPr="00126EF1">
        <w:t>Modification History</w:t>
      </w:r>
    </w:p>
    <w:p w:rsidR="00000000" w:rsidRPr="00126EF1" w:rsidP="00910E37">
      <w:pPr>
        <w:pStyle w:val="BodyText"/>
      </w:pPr>
      <w:r w:rsidRPr="00126EF1">
        <w:t xml:space="preserve">Release 1. New unit.  </w:t>
      </w:r>
    </w:p>
    <w:p w:rsidR="00000000" w:rsidRPr="00126EF1" w:rsidP="00126EF1">
      <w:pPr>
        <w:pStyle w:val="Heading1"/>
      </w:pPr>
      <w:bookmarkStart w:id="2" w:name="O_1274099"/>
      <w:bookmarkEnd w:id="2"/>
      <w:r w:rsidRPr="00126EF1">
        <w:t>Application</w:t>
      </w:r>
    </w:p>
    <w:p w:rsidR="00000000" w:rsidRPr="00126EF1" w:rsidP="00910E37">
      <w:pPr>
        <w:pStyle w:val="BodyText"/>
      </w:pPr>
      <w:r w:rsidRPr="00126EF1">
        <w:t xml:space="preserve">This unit of competency has been developed for non-destructive testing (NDT) technicians who perform non-destructive tests to the requirements of NDT </w:t>
      </w:r>
      <w:r w:rsidRPr="00126EF1">
        <w:t>national and international codes and standards.</w:t>
      </w:r>
    </w:p>
    <w:p w:rsidR="00000000" w:rsidRPr="00126EF1" w:rsidP="00910E37">
      <w:pPr>
        <w:pStyle w:val="BodyText"/>
      </w:pPr>
      <w:r w:rsidRPr="00126EF1">
        <w:t>The unit defines the skills and knowledge to apply Australian and international standards and codes covering various NDT, as well as relevant sections of standards and codes covering the materials, structures</w:t>
      </w:r>
      <w:r w:rsidRPr="00126EF1">
        <w:t xml:space="preserve"> or products that are being tested. </w:t>
      </w:r>
    </w:p>
    <w:p w:rsidR="00000000" w:rsidRPr="00126EF1" w:rsidP="00910E37">
      <w:pPr>
        <w:pStyle w:val="BodyText"/>
      </w:pPr>
      <w:r w:rsidRPr="00126EF1">
        <w:t>The unit scope includes the skills and knowledge required to identify, locate, and apply relevant Australian and international NDT standards and codes and standards and codes relevant to the object, weld or other materi</w:t>
      </w:r>
      <w:r w:rsidRPr="00126EF1">
        <w:t xml:space="preserve">al being tested and the environment where the test is being conducted. </w:t>
      </w:r>
    </w:p>
    <w:p w:rsidR="00000000" w:rsidRPr="00126EF1" w:rsidP="00910E37">
      <w:pPr>
        <w:pStyle w:val="BodyText"/>
      </w:pPr>
      <w:r w:rsidRPr="00126EF1">
        <w:t>No licensing or legislative requirements apply to this unit at the time of publication. Certification against Australian standards may be achieved where assessment in this unit of comp</w:t>
      </w:r>
      <w:r w:rsidRPr="00126EF1">
        <w:t>etency is carried out in conjunction with an examining authority as described in ISO 9712 Non-destructive testing — Qualification and certification of personnel.</w:t>
      </w:r>
    </w:p>
    <w:p w:rsidR="00000000" w:rsidRPr="00126EF1" w:rsidP="00910E37">
      <w:pPr>
        <w:pStyle w:val="Heading3"/>
      </w:pPr>
      <w:r w:rsidRPr="00126EF1">
        <w:rPr>
          <w:rStyle w:val="SpecialBold"/>
        </w:rPr>
        <w:t>Band: B</w:t>
      </w:r>
    </w:p>
    <w:p w:rsidR="00000000" w:rsidRPr="00126EF1" w:rsidP="00910E37">
      <w:pPr>
        <w:pStyle w:val="Heading3"/>
      </w:pPr>
      <w:r w:rsidRPr="00126EF1">
        <w:rPr>
          <w:rStyle w:val="SpecialBold"/>
        </w:rPr>
        <w:t>Unit Weight: 6</w:t>
      </w:r>
    </w:p>
    <w:p w:rsidR="00000000" w:rsidRPr="00126EF1" w:rsidP="00126EF1">
      <w:pPr>
        <w:pStyle w:val="Heading1"/>
      </w:pPr>
      <w:bookmarkStart w:id="3" w:name="O_1274100"/>
      <w:bookmarkEnd w:id="3"/>
      <w:r w:rsidRPr="00126EF1">
        <w:t>Pre-requisite Unit</w:t>
      </w:r>
    </w:p>
    <w:p w:rsidR="00000000" w:rsidRPr="00126EF1" w:rsidP="00910E37">
      <w:pPr>
        <w:pStyle w:val="BodyText"/>
      </w:pPr>
      <w:r w:rsidRPr="00126EF1">
        <w:t>MEM09229 Read and interpret tech</w:t>
      </w:r>
      <w:r w:rsidRPr="00126EF1">
        <w:t>nical engineering drawings</w:t>
      </w:r>
    </w:p>
    <w:p w:rsidR="00000000" w:rsidRPr="00126EF1" w:rsidP="00126EF1">
      <w:pPr>
        <w:pStyle w:val="Heading1"/>
      </w:pPr>
      <w:bookmarkStart w:id="4" w:name="O_1274101"/>
      <w:bookmarkEnd w:id="4"/>
      <w:r w:rsidRPr="00126EF1">
        <w:t>Competency Field</w:t>
      </w:r>
    </w:p>
    <w:p w:rsidR="00000000" w:rsidRPr="00126EF1" w:rsidP="00910E37">
      <w:pPr>
        <w:pStyle w:val="BodyText"/>
      </w:pPr>
      <w:r w:rsidRPr="00126EF1">
        <w:t>Non-destructive testing</w:t>
      </w:r>
    </w:p>
    <w:p w:rsidR="00000000" w:rsidRPr="00126EF1" w:rsidP="00126EF1">
      <w:pPr>
        <w:pStyle w:val="Heading1"/>
      </w:pPr>
      <w:bookmarkStart w:id="5" w:name="O_1274103"/>
      <w:bookmarkEnd w:id="5"/>
      <w:r w:rsidRPr="00126EF1">
        <w:t>Elements and Performance Criteria</w:t>
      </w:r>
    </w:p>
    <w:tbl>
      <w:tblPr>
        <w:tblW w:w="9639" w:type="dxa"/>
        <w:tblLayout w:type="fixed"/>
        <w:tblCellMar>
          <w:left w:w="62" w:type="dxa"/>
          <w:right w:w="62" w:type="dxa"/>
        </w:tblCellMar>
        <w:tblLook w:val="0000"/>
      </w:tblPr>
      <w:tblGrid>
        <w:gridCol w:w="2502"/>
        <w:gridCol w:w="7137"/>
      </w:tblGrid>
      <w:tr w:rsidTr="00910E3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6EF1" w:rsidP="00126EF1">
            <w:pPr>
              <w:pStyle w:val="BodyText"/>
            </w:pPr>
            <w:r w:rsidRPr="00126E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6EF1">
            <w:pPr>
              <w:pStyle w:val="BodyText"/>
              <w:rPr>
                <w:lang w:val="en-NZ"/>
              </w:rPr>
            </w:pPr>
            <w:r w:rsidRPr="00126EF1">
              <w:rPr>
                <w:rStyle w:val="SpecialBold"/>
              </w:rPr>
              <w:t>Performance Criteria</w:t>
            </w:r>
          </w:p>
        </w:tc>
      </w:tr>
      <w:tr w:rsidTr="00910E3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EF1">
            <w:pPr>
              <w:pStyle w:val="BodyText"/>
              <w:rPr>
                <w:lang w:val="en-NZ"/>
              </w:rPr>
            </w:pPr>
            <w:r w:rsidRPr="00126E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6EF1">
            <w:pPr>
              <w:pStyle w:val="BodyText"/>
              <w:rPr>
                <w:lang w:val="en-NZ"/>
              </w:rPr>
            </w:pPr>
            <w:r w:rsidRPr="00126EF1">
              <w:t>Performance</w:t>
            </w:r>
            <w:r w:rsidRPr="00126EF1">
              <w:t xml:space="preserve"> criteria describe the performance needed to demonstrate achievement of the element.</w:t>
            </w:r>
          </w:p>
        </w:tc>
      </w:tr>
      <w:tr w:rsidTr="00910E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1. Determine job requirements</w:t>
            </w:r>
          </w:p>
          <w:p w:rsidR="00000000" w:rsidRPr="00126EF1" w:rsidP="00126EF1">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1.1 Follow standard operating procedures (SOPs)</w:t>
            </w:r>
          </w:p>
          <w:p w:rsidR="00000000" w:rsidRPr="00126EF1" w:rsidP="00126EF1">
            <w:pPr>
              <w:pStyle w:val="BodyText"/>
            </w:pPr>
            <w:r w:rsidRPr="00126EF1">
              <w:t>1.2 Comply with work health and safety (WHS) requirements at all times</w:t>
            </w:r>
          </w:p>
          <w:p w:rsidR="00000000" w:rsidP="00126EF1">
            <w:pPr>
              <w:pStyle w:val="BodyText"/>
              <w:rPr>
                <w:lang w:val="en-NZ"/>
              </w:rPr>
            </w:pPr>
            <w:r w:rsidRPr="00126EF1">
              <w:t>1.3 Use appropriate</w:t>
            </w:r>
            <w:r w:rsidRPr="00126EF1">
              <w:t xml:space="preserve"> personal protective equipment (PPE) in accordance with SOPs</w:t>
            </w:r>
          </w:p>
        </w:tc>
      </w:tr>
      <w:tr w:rsidTr="00910E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910E37" w:rsidP="00126EF1">
            <w:pPr>
              <w:pStyle w:val="BodyText"/>
            </w:pPr>
            <w:r w:rsidRPr="00126EF1">
              <w:t>2. Confirm details of required non-destructive tests</w:t>
            </w:r>
          </w:p>
          <w:p w:rsidR="00910E37" w:rsidP="00126EF1">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 xml:space="preserve">2.1 Identify required NDT from customer requirements, drawings, design specification or welding procedures specification  </w:t>
            </w:r>
          </w:p>
          <w:p w:rsidR="00000000" w:rsidRPr="00126EF1" w:rsidP="00126EF1">
            <w:pPr>
              <w:pStyle w:val="BodyText"/>
            </w:pPr>
            <w:r w:rsidRPr="00126EF1">
              <w:t>2.2 Obtain standards and codes relevant to required NDT and check currency</w:t>
            </w:r>
          </w:p>
          <w:p w:rsidR="00000000" w:rsidP="00126EF1">
            <w:pPr>
              <w:pStyle w:val="BodyText"/>
              <w:rPr>
                <w:lang w:val="en-NZ"/>
              </w:rPr>
            </w:pPr>
            <w:r w:rsidRPr="00126EF1">
              <w:t xml:space="preserve">2.3 Review relevant sections of specified standards or codes to identify requirements relevant to NDT </w:t>
            </w:r>
          </w:p>
        </w:tc>
      </w:tr>
      <w:tr w:rsidTr="00910E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3. Identify and access other standards and codes relevant to NDT requirement</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 xml:space="preserve">3.1 Identify relevant standards and codes for NDT object and NDT environment </w:t>
            </w:r>
          </w:p>
          <w:p w:rsidR="00000000" w:rsidRPr="00126EF1" w:rsidP="00126EF1">
            <w:pPr>
              <w:pStyle w:val="BodyText"/>
            </w:pPr>
            <w:r w:rsidRPr="00126EF1">
              <w:t>3.2 Confirm materials structures, products, consumables and environment comply with standards and codes specified in job requirements</w:t>
            </w:r>
          </w:p>
          <w:p w:rsidR="00000000" w:rsidP="00126EF1">
            <w:pPr>
              <w:pStyle w:val="BodyText"/>
              <w:rPr>
                <w:lang w:val="en-NZ"/>
              </w:rPr>
            </w:pPr>
            <w:r w:rsidRPr="00126EF1">
              <w:t>3.3 Review selected standards and codes for</w:t>
            </w:r>
            <w:r w:rsidRPr="00126EF1">
              <w:t xml:space="preserve"> implications for NDT procedure</w:t>
            </w:r>
          </w:p>
        </w:tc>
      </w:tr>
      <w:tr w:rsidTr="00910E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6EF1">
            <w:pPr>
              <w:pStyle w:val="BodyText"/>
              <w:rPr>
                <w:lang w:val="en-NZ"/>
              </w:rPr>
            </w:pPr>
            <w:r w:rsidRPr="00126EF1">
              <w:t xml:space="preserve">4. Apply standards and codes to performance of required NDT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6EF1" w:rsidP="00126EF1">
            <w:pPr>
              <w:pStyle w:val="BodyText"/>
            </w:pPr>
            <w:r w:rsidRPr="00126EF1">
              <w:t xml:space="preserve">4.1 Perform specified NDT to requirements of relevant standards and codes </w:t>
            </w:r>
          </w:p>
          <w:p w:rsidR="00000000" w:rsidRPr="00126EF1" w:rsidP="00126EF1">
            <w:pPr>
              <w:pStyle w:val="BodyText"/>
            </w:pPr>
            <w:r w:rsidRPr="00126EF1">
              <w:t>4.2 Record NDT results consistent with requirements in relevant standards and codes</w:t>
            </w:r>
          </w:p>
        </w:tc>
      </w:tr>
    </w:tbl>
    <w:p w:rsidR="00000000" w:rsidRPr="00126EF1" w:rsidP="00126EF1">
      <w:pPr>
        <w:pStyle w:val="BodyText"/>
      </w:pPr>
    </w:p>
    <w:p w:rsidR="00000000" w:rsidRPr="00126EF1" w:rsidP="00126EF1">
      <w:pPr>
        <w:pStyle w:val="AllowPageBreak"/>
      </w:pPr>
    </w:p>
    <w:p w:rsidR="00000000" w:rsidRPr="00126EF1" w:rsidP="00126EF1">
      <w:pPr>
        <w:pStyle w:val="Heading1"/>
      </w:pPr>
      <w:bookmarkStart w:id="6" w:name="O_1274104"/>
      <w:bookmarkEnd w:id="6"/>
      <w:r w:rsidRPr="00126EF1">
        <w:t>Foundation Skills</w:t>
      </w:r>
    </w:p>
    <w:p w:rsidR="00000000" w:rsidRPr="00126EF1" w:rsidP="00910E37">
      <w:pPr>
        <w:pStyle w:val="BodyText"/>
      </w:pPr>
      <w:r w:rsidRPr="00126EF1">
        <w:t>This section describes those language, literacy, numeracy and employment skills that are essential to performance.</w:t>
      </w:r>
    </w:p>
    <w:p w:rsidR="00910E37" w:rsidP="00910E37">
      <w:pPr>
        <w:pStyle w:val="BodyText"/>
      </w:pPr>
      <w:r w:rsidRPr="00126EF1">
        <w:t>Foundation skills essential to performance are explicit in the performance criteria of this unit of competency.</w:t>
      </w:r>
    </w:p>
    <w:p w:rsidR="00000000" w:rsidRPr="00126EF1" w:rsidP="00126EF1">
      <w:pPr>
        <w:pStyle w:val="Heading1"/>
      </w:pPr>
      <w:bookmarkStart w:id="7" w:name="O_1274105"/>
      <w:bookmarkEnd w:id="7"/>
      <w:r w:rsidRPr="00126EF1">
        <w:t>Range of Conditions</w:t>
      </w:r>
    </w:p>
    <w:tbl>
      <w:tblPr>
        <w:tblW w:w="0" w:type="auto"/>
        <w:tblLayout w:type="fixed"/>
        <w:tblCellMar>
          <w:left w:w="62" w:type="dxa"/>
          <w:right w:w="62" w:type="dxa"/>
        </w:tblCellMar>
        <w:tblLook w:val="0000"/>
      </w:tblPr>
      <w:tblGrid>
        <w:gridCol w:w="2698"/>
        <w:gridCol w:w="6312"/>
      </w:tblGrid>
      <w:tr w:rsidTr="00126EF1">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126EF1">
            <w:pPr>
              <w:pStyle w:val="BodyText"/>
              <w:rPr>
                <w:lang w:val="en-NZ"/>
              </w:rPr>
            </w:pPr>
            <w:r w:rsidRPr="00126EF1">
              <w:t>This field allows for different work environments and conditions that may affect performance. Essential</w:t>
            </w:r>
            <w:r w:rsidRPr="00126EF1">
              <w:t xml:space="preserve"> operating conditions that may be present (depending on the work situation, needs of the candidate, accessibility of the item, and local industry and regional contexts) are included.</w:t>
            </w:r>
          </w:p>
        </w:tc>
      </w:tr>
      <w:tr w:rsidTr="00126EF1">
        <w:tblPrEx>
          <w:tblW w:w="0" w:type="auto"/>
          <w:tblLayout w:type="fixed"/>
          <w:tblCellMar>
            <w:left w:w="62" w:type="dxa"/>
            <w:right w:w="62" w:type="dxa"/>
          </w:tblCellMar>
          <w:tblLook w:val="0000"/>
        </w:tblPrEx>
        <w:trPr>
          <w:trHeight w:val="1538"/>
        </w:trPr>
        <w:tc>
          <w:tcPr>
            <w:tcW w:w="2698" w:type="dxa"/>
            <w:tcBorders>
              <w:top w:val="nil"/>
              <w:left w:val="nil"/>
              <w:bottom w:val="nil"/>
              <w:right w:val="nil"/>
            </w:tcBorders>
            <w:tcMar>
              <w:top w:w="0" w:type="dxa"/>
              <w:left w:w="62" w:type="dxa"/>
              <w:bottom w:w="0" w:type="dxa"/>
              <w:right w:w="62" w:type="dxa"/>
            </w:tcMar>
          </w:tcPr>
          <w:p w:rsidR="00000000" w:rsidP="00126EF1">
            <w:pPr>
              <w:pStyle w:val="BodyText"/>
              <w:rPr>
                <w:lang w:val="en-NZ"/>
              </w:rPr>
            </w:pPr>
            <w:r w:rsidRPr="00126EF1">
              <w:t>Standards and codes relevant to NDT include  Australian or  internation</w:t>
            </w:r>
            <w:r w:rsidRPr="00126EF1">
              <w:t>al standards and codes covering one or more of:</w:t>
            </w:r>
          </w:p>
        </w:tc>
        <w:tc>
          <w:tcPr>
            <w:tcW w:w="6312" w:type="dxa"/>
            <w:tcBorders>
              <w:top w:val="nil"/>
              <w:left w:val="nil"/>
              <w:bottom w:val="nil"/>
              <w:right w:val="nil"/>
            </w:tcBorders>
            <w:tcMar>
              <w:top w:w="0" w:type="dxa"/>
              <w:left w:w="62" w:type="dxa"/>
              <w:bottom w:w="0" w:type="dxa"/>
              <w:right w:w="62" w:type="dxa"/>
            </w:tcMar>
          </w:tcPr>
          <w:p w:rsidR="00000000" w:rsidRPr="00126EF1" w:rsidP="00126EF1">
            <w:pPr>
              <w:pStyle w:val="ListBullet"/>
            </w:pPr>
            <w:r w:rsidRPr="00126EF1">
              <w:t>thermographic testing</w:t>
            </w:r>
          </w:p>
          <w:p w:rsidR="00000000" w:rsidRPr="00126EF1" w:rsidP="00126EF1">
            <w:pPr>
              <w:pStyle w:val="ListBullet"/>
            </w:pPr>
            <w:r w:rsidRPr="00126EF1">
              <w:t>visual testing</w:t>
            </w:r>
          </w:p>
          <w:p w:rsidR="00000000" w:rsidRPr="00126EF1" w:rsidP="00126EF1">
            <w:pPr>
              <w:pStyle w:val="ListBullet"/>
            </w:pPr>
            <w:r w:rsidRPr="00126EF1">
              <w:t>acoustic emission testing</w:t>
            </w:r>
          </w:p>
          <w:p w:rsidR="00000000" w:rsidRPr="00126EF1" w:rsidP="00126EF1">
            <w:pPr>
              <w:pStyle w:val="ListBullet"/>
            </w:pPr>
            <w:r w:rsidRPr="00126EF1">
              <w:t>leak testing</w:t>
            </w:r>
          </w:p>
          <w:p w:rsidR="00000000" w:rsidRPr="00126EF1" w:rsidP="00126EF1">
            <w:pPr>
              <w:pStyle w:val="ListBullet"/>
            </w:pPr>
            <w:r w:rsidRPr="00126EF1">
              <w:t>magnetic particle testing</w:t>
            </w:r>
          </w:p>
          <w:p w:rsidR="00000000" w:rsidRPr="00126EF1" w:rsidP="00126EF1">
            <w:pPr>
              <w:pStyle w:val="ListBullet"/>
            </w:pPr>
            <w:r w:rsidRPr="00126EF1">
              <w:t>penetrant testing</w:t>
            </w:r>
          </w:p>
          <w:p w:rsidR="00000000" w:rsidRPr="00126EF1" w:rsidP="00126EF1">
            <w:pPr>
              <w:pStyle w:val="ListBullet"/>
            </w:pPr>
            <w:r w:rsidRPr="00126EF1">
              <w:t>eddy current testing</w:t>
            </w:r>
          </w:p>
          <w:p w:rsidR="00000000" w:rsidRPr="00126EF1" w:rsidP="00126EF1">
            <w:pPr>
              <w:pStyle w:val="ListBullet"/>
            </w:pPr>
            <w:r w:rsidRPr="00126EF1">
              <w:t>ultrasonic testing:</w:t>
            </w:r>
          </w:p>
          <w:p w:rsidR="00000000" w:rsidRPr="00126EF1" w:rsidP="00126EF1">
            <w:pPr>
              <w:pStyle w:val="ListBullet2"/>
            </w:pPr>
            <w:r w:rsidRPr="00126EF1">
              <w:t>time-of-flight diffraction</w:t>
            </w:r>
          </w:p>
          <w:p w:rsidR="00000000" w:rsidRPr="00126EF1" w:rsidP="00126EF1">
            <w:pPr>
              <w:pStyle w:val="ListBullet2"/>
            </w:pPr>
            <w:r w:rsidRPr="00126EF1">
              <w:t xml:space="preserve">ultrasonic phased array  </w:t>
            </w:r>
          </w:p>
          <w:p w:rsidR="00000000" w:rsidRPr="00126EF1" w:rsidP="00126EF1">
            <w:pPr>
              <w:pStyle w:val="ListBullet"/>
            </w:pPr>
            <w:r w:rsidRPr="00126EF1">
              <w:t>radiographic testing</w:t>
            </w:r>
          </w:p>
          <w:p w:rsidR="00000000" w:rsidRPr="00126EF1" w:rsidP="00126EF1">
            <w:pPr>
              <w:pStyle w:val="ListBullet"/>
            </w:pPr>
            <w:r w:rsidRPr="00126EF1">
              <w:t>welding processes and consumables</w:t>
            </w:r>
          </w:p>
          <w:p w:rsidR="00000000" w:rsidRPr="00126EF1" w:rsidP="00126EF1">
            <w:pPr>
              <w:pStyle w:val="ListBullet"/>
            </w:pPr>
            <w:r w:rsidRPr="00126EF1">
              <w:t>destructive and non-destructive testing of welds</w:t>
            </w:r>
          </w:p>
          <w:p w:rsidR="00000000" w:rsidRPr="00126EF1" w:rsidP="00126EF1">
            <w:pPr>
              <w:pStyle w:val="ListBullet"/>
            </w:pPr>
            <w:r w:rsidRPr="00126EF1">
              <w:t>qualifying of welders, welding inspectors and welding supervisors</w:t>
            </w:r>
          </w:p>
          <w:p w:rsidR="00000000" w:rsidP="00126EF1">
            <w:pPr>
              <w:pStyle w:val="ListBullet"/>
              <w:rPr>
                <w:lang w:val="en-NZ"/>
              </w:rPr>
            </w:pPr>
            <w:r w:rsidRPr="00126EF1">
              <w:t>equipment, materials and consumables used in construction a</w:t>
            </w:r>
            <w:r w:rsidRPr="00126EF1">
              <w:t>nd fabrication related projects or products.</w:t>
            </w:r>
          </w:p>
        </w:tc>
      </w:tr>
      <w:tr w:rsidTr="00126EF1">
        <w:tblPrEx>
          <w:tblW w:w="0" w:type="auto"/>
          <w:tblLayout w:type="fixed"/>
          <w:tblCellMar>
            <w:left w:w="62" w:type="dxa"/>
            <w:right w:w="62" w:type="dxa"/>
          </w:tblCellMar>
          <w:tblLook w:val="0000"/>
        </w:tblPrEx>
        <w:trPr>
          <w:trHeight w:val="1098"/>
        </w:trPr>
        <w:tc>
          <w:tcPr>
            <w:tcW w:w="2698" w:type="dxa"/>
            <w:tcBorders>
              <w:top w:val="nil"/>
              <w:left w:val="nil"/>
              <w:bottom w:val="nil"/>
              <w:right w:val="nil"/>
            </w:tcBorders>
            <w:tcMar>
              <w:top w:w="0" w:type="dxa"/>
              <w:left w:w="62" w:type="dxa"/>
              <w:bottom w:w="0" w:type="dxa"/>
              <w:right w:w="62" w:type="dxa"/>
            </w:tcMar>
          </w:tcPr>
          <w:p w:rsidR="00000000" w:rsidP="00126EF1">
            <w:pPr>
              <w:pStyle w:val="BodyText"/>
              <w:rPr>
                <w:lang w:val="en-NZ"/>
              </w:rPr>
            </w:pPr>
            <w:r w:rsidRPr="00126EF1">
              <w:t>NDT test object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126EF1" w:rsidP="00126EF1">
            <w:pPr>
              <w:pStyle w:val="ListBullet"/>
            </w:pPr>
            <w:r w:rsidRPr="00126EF1">
              <w:t xml:space="preserve">materials requiring non-destructive </w:t>
            </w:r>
          </w:p>
          <w:p w:rsidR="00000000" w:rsidRPr="00126EF1" w:rsidP="00126EF1">
            <w:pPr>
              <w:pStyle w:val="ListBullet"/>
            </w:pPr>
            <w:r w:rsidRPr="00126EF1">
              <w:t xml:space="preserve">constructed and fabricated structures and components requiring non-destructive testing </w:t>
            </w:r>
          </w:p>
          <w:p w:rsidR="00000000" w:rsidP="00126EF1">
            <w:pPr>
              <w:pStyle w:val="ListBullet"/>
              <w:rPr>
                <w:lang w:val="en-NZ"/>
              </w:rPr>
            </w:pPr>
            <w:r w:rsidRPr="00126EF1">
              <w:t>manufactured products and parts requiring non-destructive testing.</w:t>
            </w:r>
          </w:p>
        </w:tc>
      </w:tr>
      <w:tr w:rsidTr="00126EF1">
        <w:tblPrEx>
          <w:tblW w:w="0" w:type="auto"/>
          <w:tblLayout w:type="fixed"/>
          <w:tblCellMar>
            <w:left w:w="62" w:type="dxa"/>
            <w:right w:w="62" w:type="dxa"/>
          </w:tblCellMar>
          <w:tblLook w:val="0000"/>
        </w:tblPrEx>
        <w:trPr>
          <w:trHeight w:val="1561"/>
        </w:trPr>
        <w:tc>
          <w:tcPr>
            <w:tcW w:w="2698" w:type="dxa"/>
            <w:tcBorders>
              <w:top w:val="nil"/>
              <w:left w:val="nil"/>
              <w:bottom w:val="nil"/>
              <w:right w:val="nil"/>
            </w:tcBorders>
            <w:tcMar>
              <w:top w:w="0" w:type="dxa"/>
              <w:left w:w="62" w:type="dxa"/>
              <w:bottom w:w="0" w:type="dxa"/>
              <w:right w:w="62" w:type="dxa"/>
            </w:tcMar>
          </w:tcPr>
          <w:p w:rsidR="00000000" w:rsidP="00126EF1">
            <w:pPr>
              <w:pStyle w:val="BodyText"/>
              <w:rPr>
                <w:lang w:val="en-NZ"/>
              </w:rPr>
            </w:pPr>
            <w:r w:rsidRPr="00126EF1">
              <w:t>Standards and codes relevant to NDT environment include standards and codes covering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126EF1" w:rsidP="00126EF1">
            <w:pPr>
              <w:pStyle w:val="ListBullet"/>
            </w:pPr>
            <w:r w:rsidRPr="00126EF1">
              <w:t>workplace health and safety</w:t>
            </w:r>
          </w:p>
          <w:p w:rsidR="00000000" w:rsidRPr="00126EF1" w:rsidP="00126EF1">
            <w:pPr>
              <w:pStyle w:val="ListBullet"/>
            </w:pPr>
            <w:r w:rsidRPr="00126EF1">
              <w:t>environmental protection</w:t>
            </w:r>
          </w:p>
          <w:p w:rsidR="00000000" w:rsidRPr="00126EF1" w:rsidP="00126EF1">
            <w:pPr>
              <w:pStyle w:val="ListBullet"/>
            </w:pPr>
            <w:r w:rsidRPr="00126EF1">
              <w:t>privacy.</w:t>
            </w:r>
          </w:p>
          <w:p w:rsidR="00000000" w:rsidP="00126EF1">
            <w:pPr>
              <w:pStyle w:val="BodyText"/>
              <w:rPr>
                <w:lang w:val="en-NZ"/>
              </w:rPr>
            </w:pPr>
          </w:p>
        </w:tc>
      </w:tr>
      <w:tr w:rsidTr="00126EF1">
        <w:tblPrEx>
          <w:tblW w:w="0" w:type="auto"/>
          <w:tblLayout w:type="fixed"/>
          <w:tblCellMar>
            <w:left w:w="62" w:type="dxa"/>
            <w:right w:w="62" w:type="dxa"/>
          </w:tblCellMar>
          <w:tblLook w:val="0000"/>
        </w:tblPrEx>
        <w:trPr>
          <w:trHeight w:val="1561"/>
        </w:trPr>
        <w:tc>
          <w:tcPr>
            <w:tcW w:w="2698" w:type="dxa"/>
            <w:tcBorders>
              <w:top w:val="nil"/>
              <w:left w:val="nil"/>
              <w:bottom w:val="nil"/>
              <w:right w:val="nil"/>
            </w:tcBorders>
            <w:tcMar>
              <w:top w:w="0" w:type="dxa"/>
              <w:left w:w="62" w:type="dxa"/>
              <w:bottom w:w="0" w:type="dxa"/>
              <w:right w:w="62" w:type="dxa"/>
            </w:tcMar>
          </w:tcPr>
          <w:p w:rsidR="00000000" w:rsidP="00126EF1">
            <w:pPr>
              <w:pStyle w:val="BodyText"/>
              <w:rPr>
                <w:lang w:val="en-NZ"/>
              </w:rPr>
            </w:pPr>
            <w:r w:rsidRPr="00126EF1">
              <w:t>Basic NDT test level refers to either:</w:t>
            </w:r>
          </w:p>
        </w:tc>
        <w:tc>
          <w:tcPr>
            <w:tcW w:w="6312" w:type="dxa"/>
            <w:tcBorders>
              <w:top w:val="nil"/>
              <w:left w:val="nil"/>
              <w:bottom w:val="nil"/>
              <w:right w:val="nil"/>
            </w:tcBorders>
            <w:tcMar>
              <w:top w:w="0" w:type="dxa"/>
              <w:left w:w="62" w:type="dxa"/>
              <w:bottom w:w="0" w:type="dxa"/>
              <w:right w:w="62" w:type="dxa"/>
            </w:tcMar>
          </w:tcPr>
          <w:p w:rsidR="00000000" w:rsidRPr="00126EF1" w:rsidP="00126EF1">
            <w:pPr>
              <w:pStyle w:val="ListBullet"/>
            </w:pPr>
            <w:r w:rsidRPr="00126EF1">
              <w:t xml:space="preserve">non-destructive testing covered by MEM NDT units at the </w:t>
            </w:r>
            <w:r>
              <w:t>“</w:t>
            </w:r>
            <w:r w:rsidRPr="00126EF1">
              <w:t>Perform basic NDT</w:t>
            </w:r>
            <w:r>
              <w:t>”</w:t>
            </w:r>
            <w:r w:rsidRPr="00126EF1">
              <w:t xml:space="preserve"> level.</w:t>
            </w:r>
          </w:p>
          <w:p w:rsidR="00000000" w:rsidRPr="00126EF1" w:rsidP="00126EF1">
            <w:pPr>
              <w:pStyle w:val="ListBullet"/>
            </w:pPr>
            <w:r w:rsidRPr="00126EF1">
              <w:t>non-destructive testing at the ISO 9712 Level 1 level of competence.</w:t>
            </w:r>
          </w:p>
        </w:tc>
      </w:tr>
    </w:tbl>
    <w:p w:rsidR="00000000" w:rsidRPr="00126EF1" w:rsidP="00126EF1">
      <w:pPr>
        <w:pStyle w:val="BodyText"/>
      </w:pPr>
    </w:p>
    <w:p w:rsidR="00000000" w:rsidRPr="00126EF1" w:rsidP="00126EF1">
      <w:pPr>
        <w:pStyle w:val="AllowPageBreak"/>
      </w:pPr>
    </w:p>
    <w:p w:rsidR="00000000" w:rsidRPr="00126EF1" w:rsidP="00126EF1">
      <w:pPr>
        <w:pStyle w:val="Heading1"/>
      </w:pPr>
      <w:bookmarkStart w:id="8" w:name="O_1274106"/>
      <w:bookmarkEnd w:id="8"/>
      <w:r w:rsidRPr="00126EF1">
        <w:t>Unit Mapping Information</w:t>
      </w:r>
    </w:p>
    <w:p w:rsidR="00910E37" w:rsidP="00910E37">
      <w:pPr>
        <w:pStyle w:val="BodyText"/>
      </w:pPr>
      <w:r w:rsidRPr="00126EF1">
        <w:t>No equivalent unit</w:t>
      </w:r>
    </w:p>
    <w:p w:rsidR="00000000" w:rsidRPr="00126EF1" w:rsidP="00126EF1">
      <w:pPr>
        <w:pStyle w:val="Heading1"/>
      </w:pPr>
      <w:bookmarkStart w:id="9" w:name="O_1274113"/>
      <w:bookmarkEnd w:id="9"/>
      <w:r w:rsidRPr="00126EF1">
        <w:t>Links</w:t>
      </w:r>
    </w:p>
    <w:p w:rsidR="00000000" w:rsidRPr="00126EF1" w:rsidP="00910E37">
      <w:pPr>
        <w:pStyle w:val="BodyText"/>
      </w:pPr>
      <w:r w:rsidRPr="00126E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67AB7">
        <w:rPr>
          <w:rStyle w:val="Hyperlink"/>
        </w:rPr>
        <w:t>https://vetnet.gov.au/Pages/TrainingDocs.aspx?q=b7050d37-5fd0-4740-8f7d-3b7a49c10bb2</w:t>
      </w:r>
      <w:r>
        <w:fldChar w:fldCharType="end"/>
      </w:r>
    </w:p>
    <w:p w:rsidR="00000000" w:rsidRPr="00126EF1" w:rsidP="00126EF1"/>
    <w:sectPr w:rsidSect="00126E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F1" w:rsidRPr="00910E37" w:rsidP="00910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37" w:rsidP="00126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E37" w:rsidP="00126E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0E37" w:rsidP="00126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EF1" w:rsidRPr="00910E37" w:rsidP="00910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37" w:rsidRPr="002D2AF8" w:rsidP="00126EF1">
    <w:pPr>
      <w:pStyle w:val="Header"/>
      <w:framePr w:wrap="around"/>
    </w:pPr>
    <w:r>
      <w:fldChar w:fldCharType="begin"/>
    </w:r>
    <w:r>
      <w:instrText xml:space="preserve"> TITLE   \* MERGEFORMAT </w:instrText>
    </w:r>
    <w:r>
      <w:fldChar w:fldCharType="separate"/>
    </w:r>
    <w:r>
      <w:t>MEM24019 Apply codes and standards to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10E37" w:rsidP="00126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03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4E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5EC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EF1"/>
    <w:pPr>
      <w:spacing w:before="360" w:after="60"/>
      <w:outlineLvl w:val="0"/>
    </w:pPr>
    <w:rPr>
      <w:sz w:val="32"/>
    </w:rPr>
  </w:style>
  <w:style w:type="paragraph" w:styleId="Heading2">
    <w:name w:val="heading 2"/>
    <w:basedOn w:val="HeadingBase"/>
    <w:next w:val="BodyText"/>
    <w:link w:val="Heading2Char"/>
    <w:qFormat/>
    <w:rsid w:val="00126EF1"/>
    <w:pPr>
      <w:keepLines/>
      <w:spacing w:before="240" w:after="120"/>
      <w:outlineLvl w:val="1"/>
    </w:pPr>
    <w:rPr>
      <w:sz w:val="28"/>
      <w:szCs w:val="40"/>
    </w:rPr>
  </w:style>
  <w:style w:type="paragraph" w:styleId="Heading3">
    <w:name w:val="heading 3"/>
    <w:basedOn w:val="HeadingBase"/>
    <w:next w:val="BodyText"/>
    <w:link w:val="Heading3Char"/>
    <w:qFormat/>
    <w:rsid w:val="00126EF1"/>
    <w:pPr>
      <w:spacing w:before="180" w:after="120"/>
      <w:outlineLvl w:val="2"/>
    </w:pPr>
    <w:rPr>
      <w:spacing w:val="-10"/>
      <w:kern w:val="32"/>
    </w:rPr>
  </w:style>
  <w:style w:type="paragraph" w:styleId="Heading4">
    <w:name w:val="heading 4"/>
    <w:basedOn w:val="HeadingBase"/>
    <w:next w:val="BodyText"/>
    <w:link w:val="Heading4Char"/>
    <w:qFormat/>
    <w:rsid w:val="00126EF1"/>
    <w:pPr>
      <w:spacing w:before="160" w:after="120"/>
      <w:outlineLvl w:val="3"/>
    </w:pPr>
    <w:rPr>
      <w:sz w:val="22"/>
    </w:rPr>
  </w:style>
  <w:style w:type="paragraph" w:styleId="Heading5">
    <w:name w:val="heading 5"/>
    <w:basedOn w:val="HeadingBase"/>
    <w:next w:val="Normal"/>
    <w:link w:val="Heading5Char"/>
    <w:qFormat/>
    <w:rsid w:val="00126EF1"/>
    <w:pPr>
      <w:spacing w:before="80"/>
      <w:outlineLvl w:val="4"/>
    </w:pPr>
    <w:rPr>
      <w:color w:val="918585"/>
      <w:sz w:val="20"/>
    </w:rPr>
  </w:style>
  <w:style w:type="paragraph" w:styleId="Heading6">
    <w:name w:val="heading 6"/>
    <w:basedOn w:val="HeadingBase"/>
    <w:next w:val="Normal"/>
    <w:link w:val="Heading6Char"/>
    <w:qFormat/>
    <w:rsid w:val="00126EF1"/>
    <w:pPr>
      <w:spacing w:before="60"/>
      <w:outlineLvl w:val="5"/>
    </w:pPr>
    <w:rPr>
      <w:color w:val="918585"/>
      <w:sz w:val="20"/>
    </w:rPr>
  </w:style>
  <w:style w:type="paragraph" w:styleId="Heading7">
    <w:name w:val="heading 7"/>
    <w:basedOn w:val="Normal"/>
    <w:next w:val="Normal"/>
    <w:link w:val="Heading7Char"/>
    <w:qFormat/>
    <w:rsid w:val="00126EF1"/>
    <w:pPr>
      <w:ind w:left="720"/>
      <w:outlineLvl w:val="6"/>
    </w:pPr>
    <w:rPr>
      <w:i/>
    </w:rPr>
  </w:style>
  <w:style w:type="paragraph" w:styleId="Heading8">
    <w:name w:val="heading 8"/>
    <w:basedOn w:val="Normal"/>
    <w:next w:val="Normal"/>
    <w:link w:val="Heading8Char"/>
    <w:qFormat/>
    <w:rsid w:val="00126EF1"/>
    <w:pPr>
      <w:ind w:left="720"/>
      <w:outlineLvl w:val="7"/>
    </w:pPr>
    <w:rPr>
      <w:i/>
    </w:rPr>
  </w:style>
  <w:style w:type="paragraph" w:styleId="Heading9">
    <w:name w:val="heading 9"/>
    <w:basedOn w:val="Normal"/>
    <w:next w:val="Normal"/>
    <w:link w:val="Heading9Char"/>
    <w:qFormat/>
    <w:rsid w:val="00126EF1"/>
    <w:pPr>
      <w:ind w:left="720"/>
      <w:outlineLvl w:val="8"/>
    </w:pPr>
    <w:rPr>
      <w:i/>
    </w:rPr>
  </w:style>
  <w:style w:type="character" w:default="1" w:styleId="DefaultParagraphFont">
    <w:name w:val="Default Paragraph Font"/>
    <w:uiPriority w:val="1"/>
    <w:unhideWhenUsed/>
    <w:rsid w:val="00126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EF1"/>
  </w:style>
  <w:style w:type="character" w:customStyle="1" w:styleId="Heading1Char">
    <w:name w:val="Heading 1 Char"/>
    <w:basedOn w:val="DefaultParagraphFont"/>
    <w:link w:val="Heading1"/>
    <w:rsid w:val="00126EF1"/>
    <w:rPr>
      <w:rFonts w:ascii="Times New Roman" w:eastAsia="Times New Roman" w:hAnsi="Times New Roman" w:cs="Times New Roman"/>
      <w:b/>
      <w:sz w:val="32"/>
      <w:szCs w:val="20"/>
      <w:lang w:eastAsia="en-US"/>
    </w:rPr>
  </w:style>
  <w:style w:type="paragraph" w:styleId="BodyText">
    <w:name w:val="Body Text"/>
    <w:basedOn w:val="Normal"/>
    <w:link w:val="BodyTextChar"/>
    <w:rsid w:val="00126E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EF1"/>
    <w:rPr>
      <w:rFonts w:ascii="Times New Roman" w:eastAsia="Times New Roman" w:hAnsi="Times New Roman" w:cs="Times New Roman"/>
      <w:sz w:val="24"/>
      <w:lang w:eastAsia="en-US"/>
    </w:rPr>
  </w:style>
  <w:style w:type="paragraph" w:styleId="ListBullet">
    <w:name w:val="List Bullet"/>
    <w:basedOn w:val="List"/>
    <w:rsid w:val="00126EF1"/>
    <w:pPr>
      <w:numPr>
        <w:numId w:val="12"/>
      </w:numPr>
      <w:tabs>
        <w:tab w:val="clear" w:pos="340"/>
      </w:tabs>
      <w:spacing w:before="40" w:after="40"/>
    </w:pPr>
  </w:style>
  <w:style w:type="character" w:customStyle="1" w:styleId="SpecialBold">
    <w:name w:val="Special Bold"/>
    <w:basedOn w:val="DefaultParagraphFont"/>
    <w:rsid w:val="00126EF1"/>
    <w:rPr>
      <w:b/>
      <w:spacing w:val="0"/>
    </w:rPr>
  </w:style>
  <w:style w:type="paragraph" w:styleId="ListBullet2">
    <w:name w:val="List Bullet 2"/>
    <w:basedOn w:val="List2"/>
    <w:rsid w:val="00126EF1"/>
    <w:pPr>
      <w:numPr>
        <w:numId w:val="13"/>
      </w:numPr>
      <w:tabs>
        <w:tab w:val="clear" w:pos="680"/>
      </w:tabs>
    </w:pPr>
  </w:style>
  <w:style w:type="paragraph" w:customStyle="1" w:styleId="SuperHeading">
    <w:name w:val="SuperHeading"/>
    <w:basedOn w:val="Normal"/>
    <w:rsid w:val="00126EF1"/>
    <w:pPr>
      <w:spacing w:before="240" w:after="120"/>
      <w:outlineLvl w:val="0"/>
    </w:pPr>
    <w:rPr>
      <w:rFonts w:ascii="Times New Roman" w:hAnsi="Times New Roman"/>
      <w:b/>
      <w:sz w:val="32"/>
    </w:rPr>
  </w:style>
  <w:style w:type="paragraph" w:customStyle="1" w:styleId="AllowPageBreak">
    <w:name w:val="AllowPageBreak"/>
    <w:rsid w:val="00126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EF1"/>
    <w:rPr>
      <w:rFonts w:ascii="Courier New" w:eastAsia="Times New Roman" w:hAnsi="Courier New" w:cs="Times New Roman"/>
      <w:i/>
      <w:szCs w:val="20"/>
      <w:lang w:eastAsia="en-US"/>
    </w:rPr>
  </w:style>
  <w:style w:type="paragraph" w:customStyle="1" w:styleId="HeadingBase">
    <w:name w:val="Heading Base"/>
    <w:rsid w:val="00126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EF1"/>
    <w:pPr>
      <w:tabs>
        <w:tab w:val="right" w:leader="dot" w:pos="9072"/>
      </w:tabs>
      <w:ind w:left="567"/>
    </w:pPr>
    <w:rPr>
      <w:szCs w:val="22"/>
    </w:rPr>
  </w:style>
  <w:style w:type="paragraph" w:customStyle="1" w:styleId="TOCBase">
    <w:name w:val="TOC Base"/>
    <w:rsid w:val="00126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EF1"/>
    <w:pPr>
      <w:tabs>
        <w:tab w:val="right" w:leader="dot" w:pos="9072"/>
      </w:tabs>
      <w:spacing w:before="40" w:after="40"/>
      <w:ind w:left="284"/>
    </w:pPr>
    <w:rPr>
      <w:rFonts w:ascii="Times New Roman" w:hAnsi="Times New Roman"/>
    </w:rPr>
  </w:style>
  <w:style w:type="paragraph" w:styleId="TOC1">
    <w:name w:val="toc 1"/>
    <w:basedOn w:val="TOCBase"/>
    <w:next w:val="Normal"/>
    <w:rsid w:val="00126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EF1"/>
    <w:rPr>
      <w:rFonts w:ascii="Times New Roman" w:eastAsia="Times New Roman" w:hAnsi="Times New Roman" w:cs="Times New Roman"/>
      <w:sz w:val="16"/>
      <w:lang w:eastAsia="en-US"/>
    </w:rPr>
  </w:style>
  <w:style w:type="paragraph" w:styleId="Title">
    <w:name w:val="Title"/>
    <w:basedOn w:val="HeadingBase"/>
    <w:link w:val="TitleChar"/>
    <w:qFormat/>
    <w:rsid w:val="00126EF1"/>
    <w:pPr>
      <w:spacing w:before="5040"/>
      <w:jc w:val="center"/>
    </w:pPr>
    <w:rPr>
      <w:sz w:val="48"/>
      <w:szCs w:val="72"/>
      <w:lang w:val="en-US"/>
    </w:rPr>
  </w:style>
  <w:style w:type="character" w:customStyle="1" w:styleId="TitleChar">
    <w:name w:val="Title Char"/>
    <w:basedOn w:val="DefaultParagraphFont"/>
    <w:link w:val="Title"/>
    <w:rsid w:val="00126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EF1"/>
    <w:pPr>
      <w:tabs>
        <w:tab w:val="left" w:pos="3600"/>
        <w:tab w:val="left" w:pos="3958"/>
      </w:tabs>
    </w:pPr>
  </w:style>
  <w:style w:type="paragraph" w:styleId="List">
    <w:name w:val="List"/>
    <w:basedOn w:val="BodyText"/>
    <w:next w:val="BodyText"/>
    <w:rsid w:val="00126EF1"/>
    <w:pPr>
      <w:tabs>
        <w:tab w:val="left" w:pos="340"/>
      </w:tabs>
      <w:spacing w:before="60" w:after="60"/>
      <w:ind w:left="340" w:hanging="340"/>
    </w:pPr>
  </w:style>
  <w:style w:type="paragraph" w:customStyle="1" w:styleId="Note">
    <w:name w:val="Note"/>
    <w:basedOn w:val="BodyText"/>
    <w:rsid w:val="00126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EF1"/>
    <w:pPr>
      <w:framePr w:wrap="auto" w:hAnchor="text" w:y="6049"/>
    </w:pPr>
    <w:rPr>
      <w:color w:val="000000"/>
      <w:sz w:val="40"/>
    </w:rPr>
  </w:style>
  <w:style w:type="paragraph" w:customStyle="1" w:styleId="TOCTitle">
    <w:name w:val="TOCTitle"/>
    <w:basedOn w:val="Heading1"/>
    <w:rsid w:val="00126EF1"/>
    <w:pPr>
      <w:spacing w:after="240"/>
      <w:jc w:val="center"/>
      <w:outlineLvl w:val="9"/>
    </w:pPr>
    <w:rPr>
      <w:caps/>
    </w:rPr>
  </w:style>
  <w:style w:type="paragraph" w:customStyle="1" w:styleId="Version">
    <w:name w:val="Version"/>
    <w:rsid w:val="00126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EF1"/>
    <w:pPr>
      <w:keepNext w:val="0"/>
      <w:tabs>
        <w:tab w:val="right" w:pos="4176"/>
      </w:tabs>
      <w:ind w:left="198" w:hanging="198"/>
    </w:pPr>
    <w:rPr>
      <w:rFonts w:ascii="Garamond" w:hAnsi="Garamond"/>
    </w:rPr>
  </w:style>
  <w:style w:type="paragraph" w:styleId="IndexHeading">
    <w:name w:val="index heading"/>
    <w:basedOn w:val="Normal"/>
    <w:next w:val="Index1"/>
    <w:semiHidden/>
    <w:rsid w:val="00126EF1"/>
    <w:pPr>
      <w:spacing w:before="120" w:after="120"/>
    </w:pPr>
    <w:rPr>
      <w:rFonts w:ascii="Arial" w:hAnsi="Arial"/>
      <w:b/>
      <w:color w:val="918585"/>
      <w:sz w:val="24"/>
    </w:rPr>
  </w:style>
  <w:style w:type="paragraph" w:styleId="Header">
    <w:name w:val="header"/>
    <w:basedOn w:val="Normal"/>
    <w:link w:val="HeaderChar"/>
    <w:rsid w:val="00126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EF1"/>
    <w:rPr>
      <w:rFonts w:ascii="Times New Roman" w:eastAsia="Times New Roman" w:hAnsi="Times New Roman" w:cs="Times New Roman"/>
      <w:sz w:val="16"/>
      <w:szCs w:val="20"/>
      <w:lang w:val="en-GB" w:eastAsia="en-US"/>
    </w:rPr>
  </w:style>
  <w:style w:type="paragraph" w:customStyle="1" w:styleId="Chapter">
    <w:name w:val="Chapter"/>
    <w:basedOn w:val="Normal"/>
    <w:rsid w:val="00126EF1"/>
    <w:pPr>
      <w:spacing w:before="240"/>
    </w:pPr>
    <w:rPr>
      <w:rFonts w:ascii="Times New Roman" w:hAnsi="Times New Roman"/>
      <w:smallCaps/>
      <w:spacing w:val="80"/>
      <w:sz w:val="28"/>
    </w:rPr>
  </w:style>
  <w:style w:type="paragraph" w:customStyle="1" w:styleId="InChapter">
    <w:name w:val="InChapter"/>
    <w:basedOn w:val="Heading3"/>
    <w:rsid w:val="00126EF1"/>
    <w:pPr>
      <w:spacing w:after="240"/>
      <w:outlineLvl w:val="9"/>
    </w:pPr>
    <w:rPr>
      <w:noProof/>
    </w:rPr>
  </w:style>
  <w:style w:type="paragraph" w:styleId="Index2">
    <w:name w:val="index 2"/>
    <w:basedOn w:val="Normal"/>
    <w:next w:val="Normal"/>
    <w:semiHidden/>
    <w:rsid w:val="00126EF1"/>
    <w:pPr>
      <w:tabs>
        <w:tab w:val="right" w:pos="4176"/>
      </w:tabs>
      <w:ind w:left="568" w:hanging="284"/>
    </w:pPr>
    <w:rPr>
      <w:rFonts w:ascii="Garamond" w:hAnsi="Garamond"/>
    </w:rPr>
  </w:style>
  <w:style w:type="paragraph" w:customStyle="1" w:styleId="Byline">
    <w:name w:val="Byline"/>
    <w:rsid w:val="00126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EF1"/>
    <w:pPr>
      <w:tabs>
        <w:tab w:val="clear" w:pos="3600"/>
        <w:tab w:val="clear" w:pos="3958"/>
      </w:tabs>
      <w:jc w:val="right"/>
    </w:pPr>
  </w:style>
  <w:style w:type="character" w:styleId="Emphasis">
    <w:name w:val="Emphasis"/>
    <w:basedOn w:val="DefaultParagraphFont"/>
    <w:qFormat/>
    <w:rsid w:val="00126EF1"/>
    <w:rPr>
      <w:i/>
    </w:rPr>
  </w:style>
  <w:style w:type="paragraph" w:styleId="Caption">
    <w:name w:val="caption"/>
    <w:basedOn w:val="BodyText"/>
    <w:next w:val="Normal"/>
    <w:qFormat/>
    <w:rsid w:val="00126EF1"/>
    <w:pPr>
      <w:framePr w:w="2268" w:hSpace="181" w:vSpace="181" w:wrap="around" w:vAnchor="text" w:hAnchor="page" w:x="1135" w:y="285" w:anchorLock="1"/>
    </w:pPr>
    <w:rPr>
      <w:i/>
    </w:rPr>
  </w:style>
  <w:style w:type="paragraph" w:customStyle="1" w:styleId="MiniTOCTitle">
    <w:name w:val="MiniTOCTitle"/>
    <w:basedOn w:val="Heading4"/>
    <w:rsid w:val="00126EF1"/>
    <w:pPr>
      <w:spacing w:before="240"/>
      <w:outlineLvl w:val="9"/>
    </w:pPr>
    <w:rPr>
      <w:noProof/>
      <w:sz w:val="24"/>
    </w:rPr>
  </w:style>
  <w:style w:type="paragraph" w:customStyle="1" w:styleId="MiniTOCItem">
    <w:name w:val="MiniTOCItem"/>
    <w:basedOn w:val="ListBullet"/>
    <w:rsid w:val="00126EF1"/>
    <w:pPr>
      <w:numPr>
        <w:numId w:val="0"/>
      </w:numPr>
      <w:tabs>
        <w:tab w:val="right" w:leader="dot" w:pos="6521"/>
      </w:tabs>
      <w:spacing w:before="0" w:after="0"/>
    </w:pPr>
  </w:style>
  <w:style w:type="paragraph" w:customStyle="1" w:styleId="TOFTitle">
    <w:name w:val="TOFTitle"/>
    <w:basedOn w:val="TOCTitle"/>
    <w:rsid w:val="00126EF1"/>
  </w:style>
  <w:style w:type="paragraph" w:styleId="TableofFigures">
    <w:name w:val="table of figures"/>
    <w:basedOn w:val="Normal"/>
    <w:next w:val="Normal"/>
    <w:semiHidden/>
    <w:rsid w:val="00126EF1"/>
    <w:pPr>
      <w:tabs>
        <w:tab w:val="right" w:leader="dot" w:pos="9072"/>
      </w:tabs>
      <w:ind w:left="970" w:hanging="403"/>
    </w:pPr>
    <w:rPr>
      <w:rFonts w:ascii="Times New Roman" w:hAnsi="Times New Roman"/>
      <w:b/>
    </w:rPr>
  </w:style>
  <w:style w:type="paragraph" w:styleId="ListNumber">
    <w:name w:val="List Number"/>
    <w:basedOn w:val="List"/>
    <w:rsid w:val="00126EF1"/>
    <w:pPr>
      <w:numPr>
        <w:numId w:val="15"/>
      </w:numPr>
      <w:tabs>
        <w:tab w:val="clear" w:pos="340"/>
      </w:tabs>
    </w:pPr>
  </w:style>
  <w:style w:type="character" w:customStyle="1" w:styleId="WingdingSymbols">
    <w:name w:val="Wingding Symbols"/>
    <w:rsid w:val="00126EF1"/>
    <w:rPr>
      <w:rFonts w:ascii="Wingdings" w:hAnsi="Wingdings"/>
    </w:rPr>
  </w:style>
  <w:style w:type="paragraph" w:customStyle="1" w:styleId="TableHeading">
    <w:name w:val="Table Heading"/>
    <w:basedOn w:val="HeadingBase"/>
    <w:rsid w:val="00126EF1"/>
    <w:pPr>
      <w:keepLines/>
      <w:pBdr>
        <w:bottom w:val="single" w:sz="6" w:space="1" w:color="918585"/>
      </w:pBdr>
      <w:spacing w:before="240"/>
    </w:pPr>
  </w:style>
  <w:style w:type="character" w:customStyle="1" w:styleId="HotSpot">
    <w:name w:val="HotSpot"/>
    <w:rsid w:val="00126EF1"/>
    <w:rPr>
      <w:color w:val="0033CC"/>
      <w:u w:val="none"/>
    </w:rPr>
  </w:style>
  <w:style w:type="paragraph" w:customStyle="1" w:styleId="BodyTextRight">
    <w:name w:val="Body Text Right"/>
    <w:basedOn w:val="BodyText"/>
    <w:rsid w:val="00126EF1"/>
    <w:pPr>
      <w:spacing w:before="0" w:after="0"/>
      <w:jc w:val="right"/>
    </w:pPr>
  </w:style>
  <w:style w:type="paragraph" w:styleId="Index3">
    <w:name w:val="index 3"/>
    <w:basedOn w:val="ListNumber2"/>
    <w:next w:val="Normal"/>
    <w:semiHidden/>
    <w:rsid w:val="00126EF1"/>
    <w:pPr>
      <w:numPr>
        <w:numId w:val="0"/>
      </w:numPr>
      <w:tabs>
        <w:tab w:val="right" w:leader="dot" w:pos="4176"/>
      </w:tabs>
    </w:pPr>
  </w:style>
  <w:style w:type="paragraph" w:styleId="ListNumber2">
    <w:name w:val="List Number 2"/>
    <w:basedOn w:val="List2"/>
    <w:rsid w:val="00126EF1"/>
    <w:pPr>
      <w:numPr>
        <w:numId w:val="10"/>
      </w:numPr>
      <w:tabs>
        <w:tab w:val="clear" w:pos="1060"/>
      </w:tabs>
    </w:pPr>
  </w:style>
  <w:style w:type="paragraph" w:customStyle="1" w:styleId="MarginNote">
    <w:name w:val="Margin Note"/>
    <w:basedOn w:val="BodyText"/>
    <w:rsid w:val="00126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EF1"/>
    <w:rPr>
      <w:sz w:val="32"/>
    </w:rPr>
  </w:style>
  <w:style w:type="paragraph" w:customStyle="1" w:styleId="HeadingProcedure">
    <w:name w:val="Heading Procedure"/>
    <w:basedOn w:val="HeadingBase"/>
    <w:next w:val="Normal"/>
    <w:rsid w:val="00126EF1"/>
    <w:pPr>
      <w:tabs>
        <w:tab w:val="left" w:pos="0"/>
      </w:tabs>
      <w:spacing w:before="120" w:after="60"/>
    </w:pPr>
    <w:rPr>
      <w:i/>
      <w:color w:val="918585"/>
      <w:sz w:val="22"/>
    </w:rPr>
  </w:style>
  <w:style w:type="paragraph" w:customStyle="1" w:styleId="TableBodyText">
    <w:name w:val="Table Body Text"/>
    <w:basedOn w:val="BodyText"/>
    <w:rsid w:val="00126EF1"/>
    <w:pPr>
      <w:spacing w:before="60" w:after="60"/>
    </w:pPr>
  </w:style>
  <w:style w:type="paragraph" w:styleId="ListContinue">
    <w:name w:val="List Continue"/>
    <w:basedOn w:val="List"/>
    <w:rsid w:val="00126EF1"/>
    <w:pPr>
      <w:ind w:firstLine="0"/>
    </w:pPr>
  </w:style>
  <w:style w:type="paragraph" w:customStyle="1" w:styleId="ListNote">
    <w:name w:val="List Note"/>
    <w:basedOn w:val="List"/>
    <w:rsid w:val="00126EF1"/>
    <w:pPr>
      <w:pBdr>
        <w:top w:val="single" w:sz="6" w:space="2" w:color="918585"/>
        <w:bottom w:val="single" w:sz="6" w:space="2" w:color="918585"/>
      </w:pBdr>
      <w:tabs>
        <w:tab w:val="left" w:pos="1021"/>
      </w:tabs>
      <w:ind w:firstLine="0"/>
    </w:pPr>
  </w:style>
  <w:style w:type="paragraph" w:customStyle="1" w:styleId="Warning">
    <w:name w:val="Warning"/>
    <w:basedOn w:val="BodyText"/>
    <w:rsid w:val="00126EF1"/>
    <w:pPr>
      <w:shd w:val="clear" w:color="auto" w:fill="D9D9D9"/>
      <w:tabs>
        <w:tab w:val="left" w:pos="992"/>
      </w:tabs>
      <w:ind w:left="119" w:right="119"/>
    </w:pPr>
    <w:rPr>
      <w:sz w:val="20"/>
    </w:rPr>
  </w:style>
  <w:style w:type="paragraph" w:customStyle="1" w:styleId="MarginIcons">
    <w:name w:val="Margin Icons"/>
    <w:basedOn w:val="BodyText"/>
    <w:rsid w:val="00126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EF1"/>
    <w:rPr>
      <w:rFonts w:ascii="Courier New" w:hAnsi="Courier New"/>
    </w:rPr>
  </w:style>
  <w:style w:type="paragraph" w:customStyle="1" w:styleId="NoteBullet">
    <w:name w:val="Note Bullet"/>
    <w:basedOn w:val="Note"/>
    <w:rsid w:val="00126EF1"/>
    <w:pPr>
      <w:tabs>
        <w:tab w:val="clear" w:pos="680"/>
      </w:tabs>
      <w:spacing w:before="60" w:after="60"/>
    </w:pPr>
  </w:style>
  <w:style w:type="paragraph" w:customStyle="1" w:styleId="SubHeading2">
    <w:name w:val="SubHeading2"/>
    <w:basedOn w:val="HeadingBase"/>
    <w:rsid w:val="00126EF1"/>
    <w:pPr>
      <w:spacing w:before="240" w:after="60"/>
    </w:pPr>
    <w:rPr>
      <w:sz w:val="20"/>
    </w:rPr>
  </w:style>
  <w:style w:type="paragraph" w:customStyle="1" w:styleId="SubHeading1">
    <w:name w:val="SubHeading1"/>
    <w:basedOn w:val="HeadingBase"/>
    <w:rsid w:val="00126EF1"/>
    <w:pPr>
      <w:spacing w:before="240" w:after="60"/>
    </w:pPr>
    <w:rPr>
      <w:color w:val="918585"/>
      <w:sz w:val="22"/>
    </w:rPr>
  </w:style>
  <w:style w:type="paragraph" w:customStyle="1" w:styleId="SideHeading">
    <w:name w:val="Side Heading"/>
    <w:basedOn w:val="HeadingBase"/>
    <w:rsid w:val="00126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EF1"/>
    <w:pPr>
      <w:tabs>
        <w:tab w:val="num" w:pos="360"/>
      </w:tabs>
    </w:pPr>
  </w:style>
  <w:style w:type="paragraph" w:styleId="PlainText">
    <w:name w:val="Plain Text"/>
    <w:basedOn w:val="Normal"/>
    <w:link w:val="PlainTextChar"/>
    <w:rsid w:val="00126EF1"/>
    <w:rPr>
      <w:sz w:val="20"/>
    </w:rPr>
  </w:style>
  <w:style w:type="character" w:customStyle="1" w:styleId="PlainTextChar">
    <w:name w:val="Plain Text Char"/>
    <w:basedOn w:val="DefaultParagraphFont"/>
    <w:link w:val="PlainText"/>
    <w:rsid w:val="00126EF1"/>
    <w:rPr>
      <w:rFonts w:ascii="Courier New" w:eastAsia="Times New Roman" w:hAnsi="Courier New" w:cs="Times New Roman"/>
      <w:sz w:val="20"/>
      <w:szCs w:val="20"/>
      <w:lang w:eastAsia="en-US"/>
    </w:rPr>
  </w:style>
  <w:style w:type="character" w:customStyle="1" w:styleId="MenuOption">
    <w:name w:val="Menu Option"/>
    <w:basedOn w:val="DefaultParagraphFont"/>
    <w:rsid w:val="00126EF1"/>
    <w:rPr>
      <w:b/>
      <w:smallCaps/>
    </w:rPr>
  </w:style>
  <w:style w:type="paragraph" w:customStyle="1" w:styleId="TableListNumber">
    <w:name w:val="Table List Number"/>
    <w:basedOn w:val="ListNumber"/>
    <w:rsid w:val="00126EF1"/>
    <w:pPr>
      <w:numPr>
        <w:numId w:val="0"/>
      </w:numPr>
    </w:pPr>
  </w:style>
  <w:style w:type="paragraph" w:styleId="TOC4">
    <w:name w:val="toc 4"/>
    <w:basedOn w:val="TOCBase"/>
    <w:next w:val="Normal"/>
    <w:semiHidden/>
    <w:rsid w:val="00126EF1"/>
    <w:pPr>
      <w:tabs>
        <w:tab w:val="right" w:leader="dot" w:pos="9071"/>
      </w:tabs>
      <w:ind w:left="1701"/>
    </w:pPr>
  </w:style>
  <w:style w:type="paragraph" w:customStyle="1" w:styleId="ListAlpha">
    <w:name w:val="List Alpha"/>
    <w:basedOn w:val="List"/>
    <w:rsid w:val="00126EF1"/>
    <w:pPr>
      <w:numPr>
        <w:numId w:val="9"/>
      </w:numPr>
    </w:pPr>
  </w:style>
  <w:style w:type="paragraph" w:customStyle="1" w:styleId="ListAlpha2">
    <w:name w:val="List Alpha 2"/>
    <w:basedOn w:val="List2"/>
    <w:rsid w:val="00126EF1"/>
    <w:pPr>
      <w:numPr>
        <w:numId w:val="8"/>
      </w:numPr>
    </w:pPr>
  </w:style>
  <w:style w:type="paragraph" w:styleId="List2">
    <w:name w:val="List 2"/>
    <w:basedOn w:val="BodyText"/>
    <w:rsid w:val="00126EF1"/>
    <w:pPr>
      <w:tabs>
        <w:tab w:val="left" w:pos="680"/>
      </w:tabs>
      <w:spacing w:before="60" w:after="60"/>
      <w:ind w:left="680" w:hanging="340"/>
    </w:pPr>
  </w:style>
  <w:style w:type="paragraph" w:styleId="List3">
    <w:name w:val="List 3"/>
    <w:basedOn w:val="BodyText"/>
    <w:rsid w:val="00126EF1"/>
    <w:pPr>
      <w:tabs>
        <w:tab w:val="left" w:pos="1021"/>
      </w:tabs>
      <w:spacing w:before="60" w:after="60"/>
      <w:ind w:left="1020" w:hanging="340"/>
    </w:pPr>
  </w:style>
  <w:style w:type="paragraph" w:styleId="List4">
    <w:name w:val="List 4"/>
    <w:basedOn w:val="BodyText"/>
    <w:rsid w:val="00126EF1"/>
    <w:pPr>
      <w:tabs>
        <w:tab w:val="left" w:pos="1361"/>
      </w:tabs>
      <w:spacing w:before="60" w:after="60"/>
      <w:ind w:left="1361" w:hanging="340"/>
    </w:pPr>
  </w:style>
  <w:style w:type="paragraph" w:styleId="List5">
    <w:name w:val="List 5"/>
    <w:basedOn w:val="BodyText"/>
    <w:rsid w:val="00126EF1"/>
    <w:pPr>
      <w:tabs>
        <w:tab w:val="left" w:pos="1701"/>
      </w:tabs>
      <w:spacing w:before="60" w:after="60"/>
      <w:ind w:left="1701" w:hanging="340"/>
    </w:pPr>
  </w:style>
  <w:style w:type="paragraph" w:styleId="ListBullet3">
    <w:name w:val="List Bullet 3"/>
    <w:basedOn w:val="List3"/>
    <w:rsid w:val="00126EF1"/>
    <w:pPr>
      <w:numPr>
        <w:numId w:val="14"/>
      </w:numPr>
      <w:tabs>
        <w:tab w:val="clear" w:pos="1021"/>
      </w:tabs>
      <w:ind w:left="1037" w:hanging="357"/>
    </w:pPr>
  </w:style>
  <w:style w:type="paragraph" w:styleId="ListBullet4">
    <w:name w:val="List Bullet 4"/>
    <w:basedOn w:val="List4"/>
    <w:rsid w:val="00126EF1"/>
    <w:pPr>
      <w:numPr>
        <w:numId w:val="3"/>
      </w:numPr>
      <w:tabs>
        <w:tab w:val="clear" w:pos="1361"/>
      </w:tabs>
    </w:pPr>
  </w:style>
  <w:style w:type="paragraph" w:styleId="ListBullet5">
    <w:name w:val="List Bullet 5"/>
    <w:basedOn w:val="List5"/>
    <w:rsid w:val="00126EF1"/>
    <w:pPr>
      <w:numPr>
        <w:numId w:val="4"/>
      </w:numPr>
    </w:pPr>
  </w:style>
  <w:style w:type="paragraph" w:styleId="ListContinue2">
    <w:name w:val="List Continue 2"/>
    <w:basedOn w:val="List2"/>
    <w:rsid w:val="00126EF1"/>
    <w:pPr>
      <w:ind w:firstLine="0"/>
    </w:pPr>
  </w:style>
  <w:style w:type="paragraph" w:styleId="ListContinue3">
    <w:name w:val="List Continue 3"/>
    <w:basedOn w:val="List3"/>
    <w:rsid w:val="00126EF1"/>
    <w:pPr>
      <w:ind w:left="1021" w:firstLine="0"/>
    </w:pPr>
  </w:style>
  <w:style w:type="paragraph" w:styleId="ListContinue4">
    <w:name w:val="List Continue 4"/>
    <w:basedOn w:val="List4"/>
    <w:rsid w:val="00126EF1"/>
    <w:pPr>
      <w:ind w:firstLine="0"/>
    </w:pPr>
  </w:style>
  <w:style w:type="paragraph" w:styleId="ListContinue5">
    <w:name w:val="List Continue 5"/>
    <w:basedOn w:val="List5"/>
    <w:rsid w:val="00126EF1"/>
    <w:pPr>
      <w:ind w:firstLine="0"/>
    </w:pPr>
  </w:style>
  <w:style w:type="paragraph" w:styleId="ListNumber3">
    <w:name w:val="List Number 3"/>
    <w:basedOn w:val="List3"/>
    <w:rsid w:val="00126EF1"/>
    <w:pPr>
      <w:numPr>
        <w:numId w:val="5"/>
      </w:numPr>
    </w:pPr>
  </w:style>
  <w:style w:type="paragraph" w:styleId="ListNumber4">
    <w:name w:val="List Number 4"/>
    <w:basedOn w:val="List4"/>
    <w:rsid w:val="00126EF1"/>
    <w:pPr>
      <w:numPr>
        <w:numId w:val="6"/>
      </w:numPr>
    </w:pPr>
  </w:style>
  <w:style w:type="paragraph" w:styleId="ListNumber5">
    <w:name w:val="List Number 5"/>
    <w:basedOn w:val="List5"/>
    <w:rsid w:val="00126EF1"/>
    <w:pPr>
      <w:numPr>
        <w:numId w:val="7"/>
      </w:numPr>
    </w:pPr>
  </w:style>
  <w:style w:type="paragraph" w:styleId="BlockText">
    <w:name w:val="Block Text"/>
    <w:basedOn w:val="Normal"/>
    <w:rsid w:val="00126EF1"/>
    <w:pPr>
      <w:spacing w:after="120"/>
      <w:ind w:left="1440" w:right="1440"/>
    </w:pPr>
  </w:style>
  <w:style w:type="character" w:customStyle="1" w:styleId="Subscript">
    <w:name w:val="Subscript"/>
    <w:basedOn w:val="DefaultParagraphFont"/>
    <w:rsid w:val="00126EF1"/>
    <w:rPr>
      <w:sz w:val="16"/>
      <w:vertAlign w:val="subscript"/>
    </w:rPr>
  </w:style>
  <w:style w:type="character" w:customStyle="1" w:styleId="Superscript">
    <w:name w:val="Superscript"/>
    <w:basedOn w:val="DefaultParagraphFont"/>
    <w:rsid w:val="00126EF1"/>
    <w:rPr>
      <w:sz w:val="16"/>
      <w:vertAlign w:val="superscript"/>
    </w:rPr>
  </w:style>
  <w:style w:type="character" w:customStyle="1" w:styleId="Symbols">
    <w:name w:val="Symbols"/>
    <w:basedOn w:val="DefaultParagraphFont"/>
    <w:rsid w:val="00126EF1"/>
    <w:rPr>
      <w:rFonts w:ascii="Symbol" w:hAnsi="Symbol"/>
    </w:rPr>
  </w:style>
  <w:style w:type="character" w:customStyle="1" w:styleId="MenuOptions">
    <w:name w:val="Menu Options"/>
    <w:basedOn w:val="DefaultParagraphFont"/>
    <w:rsid w:val="00126EF1"/>
    <w:rPr>
      <w:rFonts w:ascii="Arial Narrow" w:hAnsi="Arial Narrow"/>
      <w:smallCaps/>
    </w:rPr>
  </w:style>
  <w:style w:type="character" w:customStyle="1" w:styleId="Buttons">
    <w:name w:val="Buttons"/>
    <w:basedOn w:val="DefaultParagraphFont"/>
    <w:rsid w:val="00126EF1"/>
    <w:rPr>
      <w:b/>
    </w:rPr>
  </w:style>
  <w:style w:type="character" w:customStyle="1" w:styleId="Underlined">
    <w:name w:val="Underlined"/>
    <w:basedOn w:val="DefaultParagraphFont"/>
    <w:rsid w:val="00126EF1"/>
    <w:rPr>
      <w:u w:val="single"/>
    </w:rPr>
  </w:style>
  <w:style w:type="paragraph" w:customStyle="1" w:styleId="TableBodyTextRight">
    <w:name w:val="Table Body Text Right"/>
    <w:basedOn w:val="TableBodyText"/>
    <w:rsid w:val="00126EF1"/>
    <w:pPr>
      <w:widowControl w:val="0"/>
      <w:autoSpaceDE w:val="0"/>
      <w:autoSpaceDN w:val="0"/>
      <w:adjustRightInd w:val="0"/>
      <w:jc w:val="right"/>
    </w:pPr>
    <w:rPr>
      <w:rFonts w:cs="Arial"/>
      <w:szCs w:val="18"/>
    </w:rPr>
  </w:style>
  <w:style w:type="paragraph" w:customStyle="1" w:styleId="CopyrightText">
    <w:name w:val="Copyright Text"/>
    <w:basedOn w:val="BodyText"/>
    <w:rsid w:val="00126EF1"/>
    <w:rPr>
      <w:sz w:val="18"/>
    </w:rPr>
  </w:style>
  <w:style w:type="paragraph" w:customStyle="1" w:styleId="BodySmallRight">
    <w:name w:val="Body Small Right"/>
    <w:basedOn w:val="BodyTextRight"/>
    <w:rsid w:val="00126EF1"/>
    <w:rPr>
      <w:sz w:val="18"/>
      <w:szCs w:val="18"/>
    </w:rPr>
  </w:style>
  <w:style w:type="paragraph" w:customStyle="1" w:styleId="MarginEdition">
    <w:name w:val="Margin Edition"/>
    <w:basedOn w:val="MarginNote"/>
    <w:rsid w:val="00126EF1"/>
    <w:pPr>
      <w:spacing w:before="0" w:after="0"/>
    </w:pPr>
    <w:rPr>
      <w:rFonts w:ascii="Times New Roman" w:hAnsi="Times New Roman"/>
      <w:color w:val="999999"/>
    </w:rPr>
  </w:style>
  <w:style w:type="paragraph" w:customStyle="1" w:styleId="Spacer">
    <w:name w:val="Spacer"/>
    <w:basedOn w:val="Normal"/>
    <w:rsid w:val="00126EF1"/>
    <w:rPr>
      <w:sz w:val="2"/>
      <w:szCs w:val="2"/>
    </w:rPr>
  </w:style>
  <w:style w:type="character" w:customStyle="1" w:styleId="Small">
    <w:name w:val="Small"/>
    <w:basedOn w:val="DefaultParagraphFont"/>
    <w:rsid w:val="00126EF1"/>
    <w:rPr>
      <w:sz w:val="16"/>
    </w:rPr>
  </w:style>
  <w:style w:type="paragraph" w:customStyle="1" w:styleId="WideTable">
    <w:name w:val="Wide Table"/>
    <w:basedOn w:val="Normal"/>
    <w:rsid w:val="00126EF1"/>
    <w:pPr>
      <w:ind w:left="-1418"/>
    </w:pPr>
    <w:rPr>
      <w:sz w:val="2"/>
      <w:szCs w:val="2"/>
    </w:rPr>
  </w:style>
  <w:style w:type="character" w:styleId="PageNumber">
    <w:name w:val="page number"/>
    <w:basedOn w:val="DefaultParagraphFont"/>
    <w:rsid w:val="00126EF1"/>
  </w:style>
  <w:style w:type="paragraph" w:styleId="Quote">
    <w:name w:val="Quote"/>
    <w:basedOn w:val="Heading1"/>
    <w:link w:val="QuoteChar"/>
    <w:qFormat/>
    <w:rsid w:val="00126EF1"/>
    <w:rPr>
      <w:b w:val="0"/>
      <w:sz w:val="72"/>
      <w:szCs w:val="72"/>
      <w:lang w:val="en-NZ"/>
    </w:rPr>
  </w:style>
  <w:style w:type="character" w:customStyle="1" w:styleId="QuoteChar">
    <w:name w:val="Quote Char"/>
    <w:basedOn w:val="DefaultParagraphFont"/>
    <w:link w:val="Quote"/>
    <w:rsid w:val="00126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EF1"/>
    <w:pPr>
      <w:pageBreakBefore/>
    </w:pPr>
  </w:style>
  <w:style w:type="paragraph" w:customStyle="1" w:styleId="Border">
    <w:name w:val="Border"/>
    <w:basedOn w:val="Normal"/>
    <w:qFormat/>
    <w:rsid w:val="00126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EF1"/>
    <w:rPr>
      <w:b/>
      <w:bCs/>
      <w:i/>
      <w:iCs/>
      <w:color w:val="auto"/>
    </w:rPr>
  </w:style>
  <w:style w:type="paragraph" w:styleId="IntenseQuote">
    <w:name w:val="Intense Quote"/>
    <w:basedOn w:val="Normal"/>
    <w:next w:val="Normal"/>
    <w:link w:val="IntenseQuoteChar"/>
    <w:uiPriority w:val="30"/>
    <w:qFormat/>
    <w:rsid w:val="00126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EF1"/>
    <w:rPr>
      <w:smallCaps/>
      <w:color w:val="auto"/>
      <w:u w:val="single"/>
    </w:rPr>
  </w:style>
  <w:style w:type="character" w:styleId="IntenseReference">
    <w:name w:val="Intense Reference"/>
    <w:basedOn w:val="DefaultParagraphFont"/>
    <w:uiPriority w:val="32"/>
    <w:qFormat/>
    <w:rsid w:val="00126EF1"/>
    <w:rPr>
      <w:b/>
      <w:bCs/>
      <w:smallCaps/>
      <w:color w:val="auto"/>
      <w:spacing w:val="5"/>
      <w:u w:val="single"/>
    </w:rPr>
  </w:style>
  <w:style w:type="paragraph" w:customStyle="1" w:styleId="2ColumnHeading">
    <w:name w:val="2Column Heading"/>
    <w:basedOn w:val="BodyText"/>
    <w:qFormat/>
    <w:rsid w:val="00126EF1"/>
    <w:pPr>
      <w:spacing w:after="60"/>
      <w:ind w:left="-2268"/>
    </w:pPr>
    <w:rPr>
      <w:b/>
    </w:rPr>
  </w:style>
  <w:style w:type="paragraph" w:customStyle="1" w:styleId="Heading1TOC">
    <w:name w:val="Heading1 TOC"/>
    <w:basedOn w:val="Normal"/>
    <w:qFormat/>
    <w:rsid w:val="00126EF1"/>
    <w:pPr>
      <w:spacing w:before="240" w:after="120"/>
    </w:pPr>
    <w:rPr>
      <w:rFonts w:ascii="Times New Roman" w:hAnsi="Times New Roman"/>
      <w:b/>
      <w:sz w:val="32"/>
    </w:rPr>
  </w:style>
  <w:style w:type="paragraph" w:customStyle="1" w:styleId="Heading2TOC">
    <w:name w:val="Heading2 TOC"/>
    <w:basedOn w:val="Normal"/>
    <w:qFormat/>
    <w:rsid w:val="00126EF1"/>
    <w:pPr>
      <w:spacing w:before="240" w:after="60"/>
    </w:pPr>
    <w:rPr>
      <w:rFonts w:ascii="Times New Roman" w:hAnsi="Times New Roman"/>
      <w:b/>
      <w:sz w:val="28"/>
    </w:rPr>
  </w:style>
  <w:style w:type="character" w:customStyle="1" w:styleId="Underline">
    <w:name w:val="Underline"/>
    <w:basedOn w:val="DefaultParagraphFont"/>
    <w:qFormat/>
    <w:rsid w:val="00126EF1"/>
    <w:rPr>
      <w:u w:val="single"/>
    </w:rPr>
  </w:style>
  <w:style w:type="character" w:customStyle="1" w:styleId="BoldandItalics">
    <w:name w:val="Bold and Italics"/>
    <w:qFormat/>
    <w:rsid w:val="00126EF1"/>
    <w:rPr>
      <w:b/>
      <w:i/>
      <w:u w:val="none"/>
    </w:rPr>
  </w:style>
  <w:style w:type="paragraph" w:styleId="BalloonText">
    <w:name w:val="Balloon Text"/>
    <w:basedOn w:val="Normal"/>
    <w:link w:val="BalloonTextChar"/>
    <w:rsid w:val="00126EF1"/>
    <w:rPr>
      <w:rFonts w:ascii="Tahoma" w:hAnsi="Tahoma" w:cs="Tahoma"/>
      <w:sz w:val="16"/>
      <w:szCs w:val="16"/>
    </w:rPr>
  </w:style>
  <w:style w:type="character" w:customStyle="1" w:styleId="BalloonTextChar">
    <w:name w:val="Balloon Text Char"/>
    <w:basedOn w:val="DefaultParagraphFont"/>
    <w:link w:val="BalloonText"/>
    <w:rsid w:val="00126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E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EF1"/>
    <w:rPr>
      <w:b/>
      <w:color w:val="660033"/>
      <w:spacing w:val="0"/>
    </w:rPr>
  </w:style>
  <w:style w:type="paragraph" w:customStyle="1" w:styleId="Nameditemlist">
    <w:name w:val="Named item list"/>
    <w:basedOn w:val="BodyText"/>
    <w:qFormat/>
    <w:rsid w:val="00126EF1"/>
    <w:pPr>
      <w:tabs>
        <w:tab w:val="left" w:pos="2835"/>
      </w:tabs>
      <w:ind w:left="2835" w:hanging="2835"/>
    </w:pPr>
  </w:style>
  <w:style w:type="paragraph" w:customStyle="1" w:styleId="BodyTextnopadding">
    <w:name w:val="Body Text no padding"/>
    <w:basedOn w:val="BodyText"/>
    <w:qFormat/>
    <w:rsid w:val="00126EF1"/>
    <w:pPr>
      <w:spacing w:before="0" w:after="0"/>
    </w:pPr>
  </w:style>
  <w:style w:type="paragraph" w:customStyle="1" w:styleId="BodyTextBold">
    <w:name w:val="Body Text Bold"/>
    <w:basedOn w:val="BodyText"/>
    <w:qFormat/>
    <w:rsid w:val="00126EF1"/>
    <w:rPr>
      <w:b/>
    </w:rPr>
  </w:style>
  <w:style w:type="character" w:styleId="Hyperlink">
    <w:name w:val="Hyperlink"/>
    <w:basedOn w:val="DefaultParagraphFont"/>
    <w:uiPriority w:val="99"/>
    <w:unhideWhenUsed/>
    <w:rsid w:val="00910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4273</Characters>
  <Application>Microsoft Office Word</Application>
  <DocSecurity>0</DocSecurity>
  <Lines>158</Lines>
  <Paragraphs>85</Paragraphs>
  <ScaleCrop>false</ScaleCrop>
  <Company>Author-it Software Corporation Ltd.</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MEM24019 Apply codes and standards to non-destructive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