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5B9" w:rsidP="007C65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MEM24018 Perform advanced ultrasonic testing</w:t>
      </w:r>
      <w:r>
        <w:fldChar w:fldCharType="end"/>
      </w:r>
    </w:p>
    <w:p w:rsidR="007C65B9" w:rsidP="007C65B9">
      <w:pPr>
        <w:pStyle w:val="Version"/>
        <w:sectPr w:rsidSect="001F63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6334" w:rsidP="001F6334">
      <w:pPr>
        <w:pStyle w:val="SuperHeading"/>
      </w:pPr>
      <w:r w:rsidRPr="001F6334">
        <w:t>Assessment Requirements for MEM24018 Perform advanced ultrasonic testing</w:t>
      </w:r>
    </w:p>
    <w:p w:rsidR="00000000" w:rsidRPr="001F6334" w:rsidP="001F6334">
      <w:pPr>
        <w:pStyle w:val="Heading1"/>
      </w:pPr>
      <w:bookmarkStart w:id="1" w:name="O_1274035"/>
      <w:bookmarkEnd w:id="1"/>
      <w:r w:rsidRPr="001F6334">
        <w:t>Modification History</w:t>
      </w:r>
    </w:p>
    <w:p w:rsidR="007C65B9" w:rsidP="007C65B9">
      <w:pPr>
        <w:pStyle w:val="BodyText"/>
      </w:pPr>
      <w:r w:rsidRPr="001F6334">
        <w:t xml:space="preserve">Release 1. New unit.  </w:t>
      </w:r>
    </w:p>
    <w:p w:rsidR="00000000" w:rsidRPr="001F6334" w:rsidP="001F6334">
      <w:pPr>
        <w:pStyle w:val="Heading1"/>
      </w:pPr>
      <w:bookmarkStart w:id="2" w:name="O_1274036"/>
      <w:bookmarkEnd w:id="2"/>
      <w:r w:rsidRPr="001F6334">
        <w:t>Performance Evidence</w:t>
      </w:r>
    </w:p>
    <w:p w:rsidR="00000000" w:rsidRPr="001F6334" w:rsidP="007C65B9">
      <w:pPr>
        <w:pStyle w:val="BodyText"/>
      </w:pPr>
      <w:r w:rsidRPr="001F6334">
        <w:t>There must be evidence the candidate has demonstrated the ability to:</w:t>
      </w:r>
    </w:p>
    <w:p w:rsidR="00000000" w:rsidRPr="001F6334" w:rsidP="001F6334">
      <w:pPr>
        <w:pStyle w:val="ListBullet"/>
      </w:pPr>
      <w:r w:rsidRPr="001F6334">
        <w:t>apply WHS requirements for a test site and area to TOFD and PAUT testing</w:t>
      </w:r>
    </w:p>
    <w:p w:rsidR="00000000" w:rsidRPr="001F6334" w:rsidP="001F6334">
      <w:pPr>
        <w:pStyle w:val="ListBullet"/>
      </w:pPr>
      <w:r w:rsidRPr="001F6334">
        <w:t xml:space="preserve">assess geometry and condition of test area surfaces for TOFD testing and determine implications for testing on at least two occasions  </w:t>
      </w:r>
    </w:p>
    <w:p w:rsidR="00000000" w:rsidRPr="001F6334" w:rsidP="001F6334">
      <w:pPr>
        <w:pStyle w:val="ListBullet"/>
      </w:pPr>
      <w:r w:rsidRPr="001F6334">
        <w:t>assess geometry and condition of test area surf</w:t>
      </w:r>
      <w:r w:rsidRPr="001F6334">
        <w:t xml:space="preserve">aces for PAUT testing and determine implications for testing on at least two occasions  </w:t>
      </w:r>
    </w:p>
    <w:p w:rsidR="00000000" w:rsidRPr="001F6334" w:rsidP="001F6334">
      <w:pPr>
        <w:pStyle w:val="ListBullet"/>
      </w:pPr>
      <w:r w:rsidRPr="001F6334">
        <w:t xml:space="preserve">select appropriate TOFD technique for a test specification on at least two occasions </w:t>
      </w:r>
    </w:p>
    <w:p w:rsidR="00000000" w:rsidRPr="001F6334" w:rsidP="001F6334">
      <w:pPr>
        <w:pStyle w:val="ListBullet"/>
      </w:pPr>
      <w:r w:rsidRPr="001F6334">
        <w:t>select appropriate PAUT technique for a test specification on at least two occasi</w:t>
      </w:r>
      <w:r w:rsidRPr="001F6334">
        <w:t>ons</w:t>
      </w:r>
    </w:p>
    <w:p w:rsidR="00000000" w:rsidRPr="001F6334" w:rsidP="001F6334">
      <w:pPr>
        <w:pStyle w:val="ListBullet"/>
      </w:pPr>
      <w:r w:rsidRPr="001F6334">
        <w:t>apply relevant standards and codes to TOFD and PAUT tests</w:t>
      </w:r>
    </w:p>
    <w:p w:rsidR="00000000" w:rsidRPr="001F6334" w:rsidP="001F6334">
      <w:pPr>
        <w:pStyle w:val="ListBullet"/>
      </w:pPr>
      <w:r w:rsidRPr="001F6334">
        <w:t xml:space="preserve">correctly use TOFD calibration and PAUT reference blocks </w:t>
      </w:r>
    </w:p>
    <w:p w:rsidR="00000000" w:rsidRPr="001F6334" w:rsidP="001F6334">
      <w:pPr>
        <w:pStyle w:val="ListBullet"/>
      </w:pPr>
      <w:r w:rsidRPr="001F6334">
        <w:t>optimise TOFD and PAUT instruments for expected defects and discontinuities</w:t>
      </w:r>
    </w:p>
    <w:p w:rsidR="00000000" w:rsidRPr="001F6334" w:rsidP="001F6334">
      <w:pPr>
        <w:pStyle w:val="ListBullet"/>
      </w:pPr>
      <w:r w:rsidRPr="001F6334">
        <w:t>correctly place transmitting and receiving probes for TOFD t</w:t>
      </w:r>
      <w:r w:rsidRPr="001F6334">
        <w:t>esting</w:t>
      </w:r>
    </w:p>
    <w:p w:rsidR="00000000" w:rsidRPr="001F6334" w:rsidP="001F6334">
      <w:pPr>
        <w:pStyle w:val="ListBullet"/>
      </w:pPr>
      <w:r w:rsidRPr="001F6334">
        <w:t>perform TOFD testing on plate and tube to identify weld discontinuities and defects, and:</w:t>
      </w:r>
    </w:p>
    <w:p w:rsidR="00000000" w:rsidRPr="001F6334" w:rsidP="001F6334">
      <w:pPr>
        <w:pStyle w:val="ListBullet2"/>
      </w:pPr>
      <w:r w:rsidRPr="001F6334">
        <w:t>assess quality of TOFD images</w:t>
      </w:r>
    </w:p>
    <w:p w:rsidR="00000000" w:rsidRPr="001F6334" w:rsidP="001F6334">
      <w:pPr>
        <w:pStyle w:val="ListBullet2"/>
      </w:pPr>
      <w:r w:rsidRPr="001F6334">
        <w:t>interpret images and accept and classify defects and discontinuities according to specified acceptance criteria</w:t>
      </w:r>
    </w:p>
    <w:p w:rsidR="00000000" w:rsidRPr="001F6334" w:rsidP="001F6334">
      <w:pPr>
        <w:pStyle w:val="ListBullet"/>
      </w:pPr>
      <w:r w:rsidRPr="001F6334">
        <w:t>prepare TOFD test reports according to specifications and relevant standards and codes</w:t>
      </w:r>
    </w:p>
    <w:p w:rsidR="00000000" w:rsidRPr="001F6334" w:rsidP="001F6334">
      <w:pPr>
        <w:pStyle w:val="ListBullet"/>
      </w:pPr>
      <w:r w:rsidRPr="001F6334">
        <w:t>perform phased array ultrasonic testing to identify:</w:t>
      </w:r>
    </w:p>
    <w:p w:rsidR="00000000" w:rsidRPr="001F6334" w:rsidP="001F6334">
      <w:pPr>
        <w:pStyle w:val="ListBullet2"/>
      </w:pPr>
      <w:r w:rsidRPr="001F6334">
        <w:t>weld discontinuities and defects including:</w:t>
      </w:r>
    </w:p>
    <w:p w:rsidR="00000000" w:rsidRPr="001F6334" w:rsidP="001F6334">
      <w:pPr>
        <w:pStyle w:val="ListBullet3"/>
      </w:pPr>
      <w:r w:rsidRPr="001F6334">
        <w:t>thickness of plate and pipe</w:t>
      </w:r>
    </w:p>
    <w:p w:rsidR="00000000" w:rsidRPr="001F6334" w:rsidP="001F6334">
      <w:pPr>
        <w:pStyle w:val="ListBullet3"/>
      </w:pPr>
      <w:r w:rsidRPr="001F6334">
        <w:t>corrosion</w:t>
      </w:r>
    </w:p>
    <w:p w:rsidR="00000000" w:rsidRPr="001F6334" w:rsidP="001F6334">
      <w:pPr>
        <w:pStyle w:val="ListBullet3"/>
      </w:pPr>
      <w:r w:rsidRPr="001F6334">
        <w:t>shape defects</w:t>
      </w:r>
    </w:p>
    <w:p w:rsidR="00000000" w:rsidRPr="001F6334" w:rsidP="001F6334">
      <w:pPr>
        <w:pStyle w:val="ListBullet"/>
      </w:pPr>
      <w:r w:rsidRPr="001F6334">
        <w:t xml:space="preserve">select correct TOFD and PAUT evaluation method for a test specification </w:t>
      </w:r>
    </w:p>
    <w:p w:rsidR="00000000" w:rsidRPr="001F6334" w:rsidP="001F6334">
      <w:pPr>
        <w:pStyle w:val="ListBullet"/>
      </w:pPr>
      <w:r w:rsidRPr="001F6334">
        <w:t>interpret PAUT images and accept and classify defects and discontinuities according to specified acceptance criteria</w:t>
      </w:r>
    </w:p>
    <w:p w:rsidR="007C65B9" w:rsidRPr="007C65B9" w:rsidP="007C65B9">
      <w:pPr>
        <w:pStyle w:val="BodyText"/>
        <w:rPr>
          <w:i/>
        </w:rPr>
      </w:pPr>
      <w:r w:rsidRPr="007C65B9">
        <w:rPr>
          <w:rStyle w:val="Emphasis"/>
        </w:rPr>
        <w:t>Note: Where a volume and/or frequency is not specified, demonstrat</w:t>
      </w:r>
      <w:r w:rsidRPr="007C65B9">
        <w:rPr>
          <w:rStyle w:val="Emphasis"/>
        </w:rPr>
        <w:t>ion must be provided at least once.</w:t>
      </w:r>
    </w:p>
    <w:p w:rsidR="00000000" w:rsidRPr="001F6334" w:rsidP="001F6334">
      <w:pPr>
        <w:pStyle w:val="Heading1"/>
      </w:pPr>
      <w:bookmarkStart w:id="3" w:name="O_1274037"/>
      <w:bookmarkEnd w:id="3"/>
      <w:r w:rsidRPr="001F6334">
        <w:t>Knowledge Evidence</w:t>
      </w:r>
    </w:p>
    <w:p w:rsidR="00000000" w:rsidRPr="001F6334" w:rsidP="007C65B9">
      <w:pPr>
        <w:pStyle w:val="BodyText"/>
      </w:pPr>
      <w:r w:rsidRPr="001F6334">
        <w:t>There must be evidence the candidate has knowledge of:</w:t>
      </w:r>
    </w:p>
    <w:p w:rsidR="00000000" w:rsidRPr="001F6334" w:rsidP="001F6334">
      <w:pPr>
        <w:pStyle w:val="ListBullet"/>
      </w:pPr>
      <w:r w:rsidRPr="001F6334">
        <w:t xml:space="preserve">standards and codes relevant to ultrasonic time of flight diffraction and phased array testing </w:t>
      </w:r>
    </w:p>
    <w:p w:rsidR="00000000" w:rsidRPr="001F6334" w:rsidP="001F6334">
      <w:pPr>
        <w:pStyle w:val="ListBullet"/>
      </w:pPr>
      <w:r w:rsidRPr="001F6334">
        <w:t>general principles and behavi</w:t>
      </w:r>
      <w:r w:rsidRPr="001F6334">
        <w:t>our of ultrasound including:</w:t>
      </w:r>
    </w:p>
    <w:p w:rsidR="00000000" w:rsidRPr="001F6334" w:rsidP="001F6334">
      <w:pPr>
        <w:pStyle w:val="ListBullet2"/>
      </w:pPr>
      <w:r w:rsidRPr="001F6334">
        <w:t>frequency, velocity, wavelength, amplitude</w:t>
      </w:r>
    </w:p>
    <w:p w:rsidR="00000000" w:rsidRPr="001F6334" w:rsidP="001F6334">
      <w:pPr>
        <w:pStyle w:val="ListBullet2"/>
      </w:pPr>
      <w:r w:rsidRPr="001F6334">
        <w:t>generation and detection of ultrasound</w:t>
      </w:r>
    </w:p>
    <w:p w:rsidR="00000000" w:rsidRPr="001F6334" w:rsidP="001F6334">
      <w:pPr>
        <w:pStyle w:val="ListBullet2"/>
      </w:pPr>
      <w:r w:rsidRPr="001F6334">
        <w:t>characteristics of ultrasound in materials</w:t>
      </w:r>
    </w:p>
    <w:p w:rsidR="00000000" w:rsidRPr="001F6334" w:rsidP="001F6334">
      <w:pPr>
        <w:pStyle w:val="ListBullet2"/>
      </w:pPr>
      <w:r w:rsidRPr="001F6334">
        <w:t>attenuation, reflection, transmission and refraction at interfaces</w:t>
      </w:r>
    </w:p>
    <w:p w:rsidR="00000000" w:rsidRPr="001F6334" w:rsidP="001F6334">
      <w:pPr>
        <w:pStyle w:val="ListBullet"/>
      </w:pPr>
      <w:r w:rsidRPr="001F6334">
        <w:t>principles of ultrasonic time of flight diffraction (TOFD) testing including:</w:t>
      </w:r>
    </w:p>
    <w:p w:rsidR="00000000" w:rsidRPr="001F6334" w:rsidP="001F6334">
      <w:pPr>
        <w:pStyle w:val="ListBullet2"/>
      </w:pPr>
      <w:r w:rsidRPr="001F6334">
        <w:t>transmitting and receiving probes</w:t>
      </w:r>
    </w:p>
    <w:p w:rsidR="00000000" w:rsidRPr="001F6334" w:rsidP="001F6334">
      <w:pPr>
        <w:pStyle w:val="ListBullet2"/>
      </w:pPr>
      <w:r w:rsidRPr="001F6334">
        <w:t>diffraction of waves from crack tips</w:t>
      </w:r>
    </w:p>
    <w:p w:rsidR="00000000" w:rsidRPr="001F6334" w:rsidP="001F6334">
      <w:pPr>
        <w:pStyle w:val="ListBullet2"/>
      </w:pPr>
      <w:r w:rsidRPr="001F6334">
        <w:t>calculation of crack depth</w:t>
      </w:r>
    </w:p>
    <w:p w:rsidR="00000000" w:rsidRPr="001F6334" w:rsidP="001F6334">
      <w:pPr>
        <w:pStyle w:val="ListBullet2"/>
      </w:pPr>
      <w:r w:rsidRPr="001F6334">
        <w:t xml:space="preserve">dead zone cause and calculation </w:t>
      </w:r>
    </w:p>
    <w:p w:rsidR="00000000" w:rsidRPr="001F6334" w:rsidP="001F6334">
      <w:pPr>
        <w:pStyle w:val="ListBullet2"/>
      </w:pPr>
      <w:r w:rsidRPr="001F6334">
        <w:t>influence of surface conditions of test area</w:t>
      </w:r>
    </w:p>
    <w:p w:rsidR="00000000" w:rsidRPr="001F6334" w:rsidP="001F6334">
      <w:pPr>
        <w:pStyle w:val="ListBullet"/>
      </w:pPr>
      <w:r w:rsidRPr="001F6334">
        <w:t>components of TOFD test equipment and their function including:</w:t>
      </w:r>
    </w:p>
    <w:p w:rsidR="00000000" w:rsidRPr="001F6334" w:rsidP="001F6334">
      <w:pPr>
        <w:pStyle w:val="ListBullet2"/>
      </w:pPr>
      <w:r w:rsidRPr="001F6334">
        <w:t>probes</w:t>
      </w:r>
    </w:p>
    <w:p w:rsidR="00000000" w:rsidRPr="001F6334" w:rsidP="001F6334">
      <w:pPr>
        <w:pStyle w:val="ListBullet2"/>
      </w:pPr>
      <w:r w:rsidRPr="001F6334">
        <w:t>encoders</w:t>
      </w:r>
    </w:p>
    <w:p w:rsidR="00000000" w:rsidRPr="001F6334" w:rsidP="001F6334">
      <w:pPr>
        <w:pStyle w:val="ListBullet2"/>
      </w:pPr>
      <w:r w:rsidRPr="001F6334">
        <w:t>guides</w:t>
      </w:r>
    </w:p>
    <w:p w:rsidR="00000000" w:rsidRPr="001F6334" w:rsidP="001F6334">
      <w:pPr>
        <w:pStyle w:val="ListBullet2"/>
      </w:pPr>
      <w:r w:rsidRPr="001F6334">
        <w:t>reference blocks</w:t>
      </w:r>
    </w:p>
    <w:p w:rsidR="00000000" w:rsidRPr="001F6334" w:rsidP="001F6334">
      <w:pPr>
        <w:pStyle w:val="ListBullet2"/>
      </w:pPr>
      <w:r w:rsidRPr="001F6334">
        <w:t>coupling materials</w:t>
      </w:r>
    </w:p>
    <w:p w:rsidR="00000000" w:rsidRPr="001F6334" w:rsidP="001F6334">
      <w:pPr>
        <w:pStyle w:val="ListBullet"/>
      </w:pPr>
      <w:r w:rsidRPr="001F6334">
        <w:t>TOFD techniques including:</w:t>
      </w:r>
    </w:p>
    <w:p w:rsidR="00000000" w:rsidRPr="001F6334" w:rsidP="001F6334">
      <w:pPr>
        <w:pStyle w:val="ListBullet2"/>
      </w:pPr>
      <w:r w:rsidRPr="001F6334">
        <w:t>single group TOFD</w:t>
      </w:r>
    </w:p>
    <w:p w:rsidR="00000000" w:rsidRPr="001F6334" w:rsidP="001F6334">
      <w:pPr>
        <w:pStyle w:val="ListBullet2"/>
      </w:pPr>
      <w:r w:rsidRPr="001F6334">
        <w:t>multiple TOFD</w:t>
      </w:r>
    </w:p>
    <w:p w:rsidR="00000000" w:rsidRPr="001F6334" w:rsidP="001F6334">
      <w:pPr>
        <w:pStyle w:val="ListBullet2"/>
      </w:pPr>
      <w:r w:rsidRPr="001F6334">
        <w:t>TOFD with pulse echo</w:t>
      </w:r>
    </w:p>
    <w:p w:rsidR="00000000" w:rsidRPr="001F6334" w:rsidP="001F6334">
      <w:pPr>
        <w:pStyle w:val="ListBullet2"/>
      </w:pPr>
      <w:r w:rsidRPr="001F6334">
        <w:t>TOFD with phased array testing</w:t>
      </w:r>
    </w:p>
    <w:p w:rsidR="00000000" w:rsidRPr="001F6334" w:rsidP="001F6334">
      <w:pPr>
        <w:pStyle w:val="ListBullet"/>
      </w:pPr>
      <w:r w:rsidRPr="001F6334">
        <w:t>visualisation of TOFD images</w:t>
      </w:r>
    </w:p>
    <w:p w:rsidR="00000000" w:rsidRPr="001F6334" w:rsidP="001F6334">
      <w:pPr>
        <w:pStyle w:val="ListBullet"/>
      </w:pPr>
      <w:r w:rsidRPr="001F6334">
        <w:t>principles of phased array ultrasonic testing (PAUT) including:</w:t>
      </w:r>
    </w:p>
    <w:p w:rsidR="00000000" w:rsidRPr="001F6334" w:rsidP="001F6334">
      <w:pPr>
        <w:pStyle w:val="ListBullet2"/>
      </w:pPr>
      <w:r w:rsidRPr="001F6334">
        <w:t>difference between conventional and phased array ultrasonic testing</w:t>
      </w:r>
    </w:p>
    <w:p w:rsidR="00000000" w:rsidRPr="001F6334" w:rsidP="001F6334">
      <w:pPr>
        <w:pStyle w:val="ListBullet2"/>
      </w:pPr>
      <w:r w:rsidRPr="001F6334">
        <w:t>transducer array pulsing and timing</w:t>
      </w:r>
    </w:p>
    <w:p w:rsidR="00000000" w:rsidRPr="001F6334" w:rsidP="001F6334">
      <w:pPr>
        <w:pStyle w:val="ListBullet2"/>
      </w:pPr>
      <w:r w:rsidRPr="001F6334">
        <w:t>active and elementary apertures</w:t>
      </w:r>
    </w:p>
    <w:p w:rsidR="00000000" w:rsidRPr="001F6334" w:rsidP="001F6334">
      <w:pPr>
        <w:pStyle w:val="ListBullet2"/>
      </w:pPr>
      <w:r w:rsidRPr="001F6334">
        <w:t>primary axis</w:t>
      </w:r>
    </w:p>
    <w:p w:rsidR="00000000" w:rsidRPr="001F6334" w:rsidP="001F6334">
      <w:pPr>
        <w:pStyle w:val="ListBullet2"/>
      </w:pPr>
      <w:r w:rsidRPr="001F6334">
        <w:t>secondary axi</w:t>
      </w:r>
      <w:r w:rsidRPr="001F6334">
        <w:t>s</w:t>
      </w:r>
    </w:p>
    <w:p w:rsidR="00000000" w:rsidRPr="001F6334" w:rsidP="001F6334">
      <w:pPr>
        <w:pStyle w:val="ListBullet2"/>
      </w:pPr>
      <w:r w:rsidRPr="001F6334">
        <w:t>beam steering and focusing</w:t>
      </w:r>
    </w:p>
    <w:p w:rsidR="00000000" w:rsidRPr="001F6334" w:rsidP="001F6334">
      <w:pPr>
        <w:pStyle w:val="ListBullet2"/>
      </w:pPr>
      <w:r w:rsidRPr="001F6334">
        <w:t>reference reflectors</w:t>
      </w:r>
    </w:p>
    <w:p w:rsidR="00000000" w:rsidRPr="001F6334" w:rsidP="001F6334">
      <w:pPr>
        <w:pStyle w:val="ListBullet2"/>
      </w:pPr>
      <w:r w:rsidRPr="001F6334">
        <w:t>transmitting and receiving delays</w:t>
      </w:r>
    </w:p>
    <w:p w:rsidR="00000000" w:rsidRPr="001F6334" w:rsidP="001F6334">
      <w:pPr>
        <w:pStyle w:val="ListBullet2"/>
      </w:pPr>
      <w:r w:rsidRPr="001F6334">
        <w:t>range and sensitivity setting</w:t>
      </w:r>
    </w:p>
    <w:p w:rsidR="00000000" w:rsidRPr="001F6334" w:rsidP="001F6334">
      <w:pPr>
        <w:pStyle w:val="ListBullet"/>
      </w:pPr>
      <w:r w:rsidRPr="001F6334">
        <w:t>types of PAUT probes and their purpose</w:t>
      </w:r>
    </w:p>
    <w:p w:rsidR="00000000" w:rsidRPr="001F6334" w:rsidP="001F6334">
      <w:pPr>
        <w:pStyle w:val="ListBullet"/>
      </w:pPr>
      <w:r w:rsidRPr="001F6334">
        <w:t>evaluation of PAUT indications including:</w:t>
      </w:r>
    </w:p>
    <w:p w:rsidR="00000000" w:rsidRPr="001F6334" w:rsidP="001F6334">
      <w:pPr>
        <w:pStyle w:val="ListBullet2"/>
      </w:pPr>
      <w:r w:rsidRPr="001F6334">
        <w:t>distance gain size (DGS) method</w:t>
      </w:r>
    </w:p>
    <w:p w:rsidR="00000000" w:rsidRPr="001F6334" w:rsidP="001F6334">
      <w:pPr>
        <w:pStyle w:val="ListBullet2"/>
      </w:pPr>
      <w:r w:rsidRPr="001F6334">
        <w:t>distance amplitude curve (DAC) method</w:t>
      </w:r>
    </w:p>
    <w:p w:rsidR="007C65B9" w:rsidP="001F6334">
      <w:pPr>
        <w:pStyle w:val="ListBullet2"/>
      </w:pPr>
      <w:r w:rsidRPr="001F6334">
        <w:t>time corrected gain (TAC) method.</w:t>
      </w:r>
    </w:p>
    <w:p w:rsidR="007C65B9" w:rsidP="001F6334">
      <w:pPr>
        <w:pStyle w:val="ListBullet2"/>
      </w:pPr>
    </w:p>
    <w:p w:rsidR="00000000" w:rsidRPr="001F6334" w:rsidP="001F6334">
      <w:pPr>
        <w:pStyle w:val="Heading1"/>
      </w:pPr>
      <w:bookmarkStart w:id="4" w:name="O_1274038"/>
      <w:bookmarkEnd w:id="4"/>
      <w:r w:rsidRPr="001F6334">
        <w:t>Assessment Conditions</w:t>
      </w:r>
    </w:p>
    <w:p w:rsidR="00000000" w:rsidRPr="001F6334" w:rsidP="001F6334">
      <w:pPr>
        <w:pStyle w:val="ListBullet"/>
      </w:pPr>
      <w:r w:rsidRPr="001F6334">
        <w:t>Assessors must:</w:t>
      </w:r>
    </w:p>
    <w:p w:rsidR="00000000" w:rsidRPr="001F6334" w:rsidP="001F6334">
      <w:pPr>
        <w:pStyle w:val="ListBullet2"/>
      </w:pPr>
      <w:r w:rsidRPr="001F6334">
        <w:t>have vocational competency in performing advanced ultrasonic testing at least to the level being assessed with relevant indu</w:t>
      </w:r>
      <w:r w:rsidRPr="001F6334">
        <w:t>stry knowledge and experience</w:t>
      </w:r>
    </w:p>
    <w:p w:rsidR="00000000" w:rsidRPr="001F6334" w:rsidP="001F6334">
      <w:pPr>
        <w:pStyle w:val="ListBullet2"/>
      </w:pPr>
      <w:r w:rsidRPr="001F6334">
        <w:t xml:space="preserve">satisfy the assessor requirements in the </w:t>
      </w:r>
      <w:r w:rsidRPr="001F6334">
        <w:rPr>
          <w:rStyle w:val="Emphasis"/>
        </w:rPr>
        <w:t>Standards for Registered Training Organisations</w:t>
      </w:r>
      <w:r w:rsidRPr="001F6334">
        <w:t xml:space="preserve"> 2015 or its replacement and comply with the </w:t>
      </w:r>
      <w:r w:rsidRPr="001F6334">
        <w:rPr>
          <w:rStyle w:val="Emphasis"/>
        </w:rPr>
        <w:t>National Vocational Education and Training Regulator Act 2011</w:t>
      </w:r>
      <w:r w:rsidRPr="001F6334">
        <w:t xml:space="preserve">, its replacement or equivalent </w:t>
      </w:r>
      <w:r w:rsidRPr="001F6334">
        <w:t>legislation covering VET regulation in a non-referring state/territory as the case requires.</w:t>
      </w:r>
    </w:p>
    <w:p w:rsidR="00000000" w:rsidRPr="001F6334" w:rsidP="001F6334">
      <w:pPr>
        <w:pStyle w:val="ListBullet"/>
      </w:pPr>
      <w:r w:rsidRPr="001F6334">
        <w:t>Where possible, assessment must occur in operational workplace situations. Where this is not possible or where personal safety or environmental damage are limitin</w:t>
      </w:r>
      <w:r w:rsidRPr="001F6334">
        <w:t>g factors, assessment must occur in a sufficiently rigorous simulated environment that reflects realistic operational workplace conditions that cover all aspects of workplace performance, including environment, task skills, task management skills, continge</w:t>
      </w:r>
      <w:r w:rsidRPr="001F6334">
        <w:t>ncy management skills and job role environment skills.</w:t>
      </w:r>
    </w:p>
    <w:p w:rsidR="00000000" w:rsidRPr="001F6334" w:rsidP="001F6334">
      <w:pPr>
        <w:pStyle w:val="ListBullet"/>
      </w:pPr>
      <w:r w:rsidRPr="001F6334">
        <w:t>There must be access to all tools, equipment, materials and documentation required, including relevant workplace procedures, product and manufacturing specifications.</w:t>
      </w:r>
    </w:p>
    <w:p w:rsidR="00000000" w:rsidRPr="001F6334" w:rsidP="001F6334">
      <w:pPr>
        <w:pStyle w:val="ListBullet"/>
      </w:pPr>
      <w:r w:rsidRPr="001F6334">
        <w:t>Assessment processes and techniques must be appropriate to the language, literacy and numeracy requirements of the work being performed and the needs of the candidate.</w:t>
      </w:r>
    </w:p>
    <w:p w:rsidR="00000000" w:rsidRPr="001F6334" w:rsidP="001F6334">
      <w:pPr>
        <w:pStyle w:val="AllowPageBreak"/>
      </w:pPr>
    </w:p>
    <w:p w:rsidR="00000000" w:rsidRPr="001F6334" w:rsidP="001F6334">
      <w:pPr>
        <w:pStyle w:val="Heading1"/>
      </w:pPr>
      <w:bookmarkStart w:id="5" w:name="O_1274041"/>
      <w:bookmarkEnd w:id="5"/>
      <w:r w:rsidRPr="001F6334">
        <w:t>Links</w:t>
      </w:r>
    </w:p>
    <w:p w:rsidR="00000000" w:rsidRPr="001F6334" w:rsidP="007C65B9">
      <w:pPr>
        <w:pStyle w:val="BodyText"/>
      </w:pPr>
      <w:r w:rsidRPr="001F63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D0C8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F6334" w:rsidP="001F6334"/>
    <w:sectPr w:rsidSect="001F63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B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B9" w:rsidP="001F63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5B9" w:rsidP="001F63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C65B9" w:rsidP="001F63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6334" w:rsidRPr="007C65B9" w:rsidP="007C65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5B9" w:rsidRPr="002D2AF8" w:rsidP="001F63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MEM24018 Perform advanced ultrasonic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C65B9" w:rsidP="001F63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9086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82C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6461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63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63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63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63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63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63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63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63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63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63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6334"/>
  </w:style>
  <w:style w:type="character" w:customStyle="1" w:styleId="Heading1Char">
    <w:name w:val="Heading 1 Char"/>
    <w:basedOn w:val="DefaultParagraphFont"/>
    <w:link w:val="Heading1"/>
    <w:rsid w:val="001F63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63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63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633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633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6334"/>
    <w:rPr>
      <w:i/>
    </w:rPr>
  </w:style>
  <w:style w:type="paragraph" w:customStyle="1" w:styleId="SuperHeading">
    <w:name w:val="SuperHeading"/>
    <w:basedOn w:val="Normal"/>
    <w:rsid w:val="001F63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63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F63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F63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63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63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6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63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6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63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63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63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63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63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63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63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63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63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63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63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63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63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63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6334"/>
    <w:rPr>
      <w:b/>
      <w:spacing w:val="0"/>
    </w:rPr>
  </w:style>
  <w:style w:type="paragraph" w:customStyle="1" w:styleId="SuperTitle">
    <w:name w:val="SuperTitle"/>
    <w:basedOn w:val="Title"/>
    <w:rsid w:val="001F63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63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63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63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63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63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63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63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63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63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63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63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63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63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63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6334"/>
  </w:style>
  <w:style w:type="paragraph" w:styleId="TableofFigures">
    <w:name w:val="table of figures"/>
    <w:basedOn w:val="Normal"/>
    <w:next w:val="Normal"/>
    <w:semiHidden/>
    <w:rsid w:val="001F63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63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F6334"/>
    <w:rPr>
      <w:rFonts w:ascii="Wingdings" w:hAnsi="Wingdings"/>
    </w:rPr>
  </w:style>
  <w:style w:type="paragraph" w:customStyle="1" w:styleId="TableHeading">
    <w:name w:val="Table Heading"/>
    <w:basedOn w:val="HeadingBase"/>
    <w:rsid w:val="001F63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6334"/>
    <w:rPr>
      <w:color w:val="0033CC"/>
      <w:u w:val="none"/>
    </w:rPr>
  </w:style>
  <w:style w:type="paragraph" w:customStyle="1" w:styleId="BodyTextRight">
    <w:name w:val="Body Text Right"/>
    <w:basedOn w:val="BodyText"/>
    <w:rsid w:val="001F63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63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63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63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63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63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6334"/>
    <w:rPr>
      <w:sz w:val="32"/>
    </w:rPr>
  </w:style>
  <w:style w:type="paragraph" w:customStyle="1" w:styleId="HeadingProcedure">
    <w:name w:val="Heading Procedure"/>
    <w:basedOn w:val="HeadingBase"/>
    <w:next w:val="Normal"/>
    <w:rsid w:val="001F63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6334"/>
    <w:pPr>
      <w:spacing w:before="60" w:after="60"/>
    </w:pPr>
  </w:style>
  <w:style w:type="paragraph" w:styleId="ListContinue">
    <w:name w:val="List Continue"/>
    <w:basedOn w:val="List"/>
    <w:rsid w:val="001F6334"/>
    <w:pPr>
      <w:ind w:firstLine="0"/>
    </w:pPr>
  </w:style>
  <w:style w:type="paragraph" w:customStyle="1" w:styleId="ListNote">
    <w:name w:val="List Note"/>
    <w:basedOn w:val="List"/>
    <w:rsid w:val="001F63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63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63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6334"/>
    <w:rPr>
      <w:rFonts w:ascii="Courier New" w:hAnsi="Courier New"/>
    </w:rPr>
  </w:style>
  <w:style w:type="paragraph" w:customStyle="1" w:styleId="NoteBullet">
    <w:name w:val="Note Bullet"/>
    <w:basedOn w:val="Note"/>
    <w:rsid w:val="001F63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63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63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63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63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63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63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6334"/>
    <w:rPr>
      <w:b/>
      <w:smallCaps/>
    </w:rPr>
  </w:style>
  <w:style w:type="paragraph" w:customStyle="1" w:styleId="TableListNumber">
    <w:name w:val="Table List Number"/>
    <w:basedOn w:val="ListNumber"/>
    <w:rsid w:val="001F63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63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6334"/>
    <w:pPr>
      <w:numPr>
        <w:numId w:val="10"/>
      </w:numPr>
    </w:pPr>
  </w:style>
  <w:style w:type="paragraph" w:customStyle="1" w:styleId="ListAlpha2">
    <w:name w:val="List Alpha 2"/>
    <w:basedOn w:val="List2"/>
    <w:rsid w:val="001F6334"/>
    <w:pPr>
      <w:numPr>
        <w:numId w:val="9"/>
      </w:numPr>
    </w:pPr>
  </w:style>
  <w:style w:type="paragraph" w:styleId="List2">
    <w:name w:val="List 2"/>
    <w:basedOn w:val="BodyText"/>
    <w:rsid w:val="001F63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63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63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63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F63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F6334"/>
    <w:pPr>
      <w:numPr>
        <w:numId w:val="5"/>
      </w:numPr>
    </w:pPr>
  </w:style>
  <w:style w:type="paragraph" w:styleId="ListContinue2">
    <w:name w:val="List Continue 2"/>
    <w:basedOn w:val="List2"/>
    <w:rsid w:val="001F6334"/>
    <w:pPr>
      <w:ind w:firstLine="0"/>
    </w:pPr>
  </w:style>
  <w:style w:type="paragraph" w:styleId="ListContinue3">
    <w:name w:val="List Continue 3"/>
    <w:basedOn w:val="List3"/>
    <w:rsid w:val="001F6334"/>
    <w:pPr>
      <w:ind w:left="1021" w:firstLine="0"/>
    </w:pPr>
  </w:style>
  <w:style w:type="paragraph" w:styleId="ListContinue4">
    <w:name w:val="List Continue 4"/>
    <w:basedOn w:val="List4"/>
    <w:rsid w:val="001F6334"/>
    <w:pPr>
      <w:ind w:firstLine="0"/>
    </w:pPr>
  </w:style>
  <w:style w:type="paragraph" w:styleId="ListContinue5">
    <w:name w:val="List Continue 5"/>
    <w:basedOn w:val="List5"/>
    <w:rsid w:val="001F6334"/>
    <w:pPr>
      <w:ind w:firstLine="0"/>
    </w:pPr>
  </w:style>
  <w:style w:type="paragraph" w:styleId="ListNumber3">
    <w:name w:val="List Number 3"/>
    <w:basedOn w:val="List3"/>
    <w:rsid w:val="001F6334"/>
    <w:pPr>
      <w:numPr>
        <w:numId w:val="6"/>
      </w:numPr>
    </w:pPr>
  </w:style>
  <w:style w:type="paragraph" w:styleId="ListNumber4">
    <w:name w:val="List Number 4"/>
    <w:basedOn w:val="List4"/>
    <w:rsid w:val="001F6334"/>
    <w:pPr>
      <w:numPr>
        <w:numId w:val="7"/>
      </w:numPr>
    </w:pPr>
  </w:style>
  <w:style w:type="paragraph" w:styleId="ListNumber5">
    <w:name w:val="List Number 5"/>
    <w:basedOn w:val="List5"/>
    <w:rsid w:val="001F6334"/>
    <w:pPr>
      <w:numPr>
        <w:numId w:val="8"/>
      </w:numPr>
    </w:pPr>
  </w:style>
  <w:style w:type="paragraph" w:styleId="BlockText">
    <w:name w:val="Block Text"/>
    <w:basedOn w:val="Normal"/>
    <w:rsid w:val="001F63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63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6334"/>
    <w:rPr>
      <w:sz w:val="16"/>
      <w:vertAlign w:val="superscript"/>
    </w:rPr>
  </w:style>
  <w:style w:type="character" w:customStyle="1" w:styleId="Symbols">
    <w:name w:val="Symbols"/>
    <w:basedOn w:val="DefaultParagraphFont"/>
    <w:rsid w:val="001F6334"/>
    <w:rPr>
      <w:rFonts w:ascii="Symbol" w:hAnsi="Symbol"/>
    </w:rPr>
  </w:style>
  <w:style w:type="character" w:customStyle="1" w:styleId="MenuOptions">
    <w:name w:val="Menu Options"/>
    <w:basedOn w:val="DefaultParagraphFont"/>
    <w:rsid w:val="001F63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6334"/>
    <w:rPr>
      <w:b/>
    </w:rPr>
  </w:style>
  <w:style w:type="character" w:customStyle="1" w:styleId="Underlined">
    <w:name w:val="Underlined"/>
    <w:basedOn w:val="DefaultParagraphFont"/>
    <w:rsid w:val="001F6334"/>
    <w:rPr>
      <w:u w:val="single"/>
    </w:rPr>
  </w:style>
  <w:style w:type="paragraph" w:customStyle="1" w:styleId="TableBodyTextRight">
    <w:name w:val="Table Body Text Right"/>
    <w:basedOn w:val="TableBodyText"/>
    <w:rsid w:val="001F63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6334"/>
    <w:rPr>
      <w:sz w:val="18"/>
    </w:rPr>
  </w:style>
  <w:style w:type="paragraph" w:customStyle="1" w:styleId="BodySmallRight">
    <w:name w:val="Body Small Right"/>
    <w:basedOn w:val="BodyTextRight"/>
    <w:rsid w:val="001F6334"/>
    <w:rPr>
      <w:sz w:val="18"/>
      <w:szCs w:val="18"/>
    </w:rPr>
  </w:style>
  <w:style w:type="paragraph" w:customStyle="1" w:styleId="MarginEdition">
    <w:name w:val="Margin Edition"/>
    <w:basedOn w:val="MarginNote"/>
    <w:rsid w:val="001F63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6334"/>
    <w:rPr>
      <w:sz w:val="2"/>
      <w:szCs w:val="2"/>
    </w:rPr>
  </w:style>
  <w:style w:type="character" w:customStyle="1" w:styleId="Small">
    <w:name w:val="Small"/>
    <w:basedOn w:val="DefaultParagraphFont"/>
    <w:rsid w:val="001F6334"/>
    <w:rPr>
      <w:sz w:val="16"/>
    </w:rPr>
  </w:style>
  <w:style w:type="paragraph" w:customStyle="1" w:styleId="WideTable">
    <w:name w:val="Wide Table"/>
    <w:basedOn w:val="Normal"/>
    <w:rsid w:val="001F63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6334"/>
  </w:style>
  <w:style w:type="paragraph" w:styleId="Quote">
    <w:name w:val="Quote"/>
    <w:basedOn w:val="Heading1"/>
    <w:link w:val="QuoteChar"/>
    <w:qFormat/>
    <w:rsid w:val="001F63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63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6334"/>
    <w:pPr>
      <w:pageBreakBefore/>
    </w:pPr>
  </w:style>
  <w:style w:type="paragraph" w:customStyle="1" w:styleId="Border">
    <w:name w:val="Border"/>
    <w:basedOn w:val="Normal"/>
    <w:qFormat/>
    <w:rsid w:val="001F63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63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3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3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63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63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63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63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63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6334"/>
    <w:rPr>
      <w:u w:val="single"/>
    </w:rPr>
  </w:style>
  <w:style w:type="character" w:customStyle="1" w:styleId="BoldandItalics">
    <w:name w:val="Bold and Italics"/>
    <w:qFormat/>
    <w:rsid w:val="001F6334"/>
    <w:rPr>
      <w:b/>
      <w:i/>
      <w:u w:val="none"/>
    </w:rPr>
  </w:style>
  <w:style w:type="paragraph" w:styleId="BalloonText">
    <w:name w:val="Balloon Text"/>
    <w:basedOn w:val="Normal"/>
    <w:link w:val="BalloonTextChar"/>
    <w:rsid w:val="001F63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63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63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63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63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63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6334"/>
    <w:pPr>
      <w:spacing w:before="0" w:after="0"/>
    </w:pPr>
  </w:style>
  <w:style w:type="paragraph" w:customStyle="1" w:styleId="BodyTextBold">
    <w:name w:val="Body Text Bold"/>
    <w:basedOn w:val="BodyText"/>
    <w:qFormat/>
    <w:rsid w:val="001F6334"/>
    <w:rPr>
      <w:b/>
    </w:rPr>
  </w:style>
  <w:style w:type="character" w:styleId="Hyperlink">
    <w:name w:val="Hyperlink"/>
    <w:basedOn w:val="DefaultParagraphFont"/>
    <w:uiPriority w:val="99"/>
    <w:unhideWhenUsed/>
    <w:rsid w:val="007C6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4273</Characters>
  <Application>Microsoft Office Word</Application>
  <DocSecurity>0</DocSecurity>
  <Lines>106</Lines>
  <Paragraphs>91</Paragraphs>
  <ScaleCrop>false</ScaleCrop>
  <Company>Author-it Software Corporation Ltd.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MEM24018 Perform advanced ultrasonic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2023-02-03T06:23:00Z</dcterms:created>
  <dcterms:modified xsi:type="dcterms:W3CDTF">2023-02-03T06:23:00Z</dcterms:modified>
</cp:coreProperties>
</file>