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445" w:rsidP="00621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MEM24015 Perform digital and computed radiography</w:t>
      </w:r>
      <w:r>
        <w:fldChar w:fldCharType="end"/>
      </w:r>
    </w:p>
    <w:p w:rsidR="00621445" w:rsidP="00621445">
      <w:pPr>
        <w:pStyle w:val="Version"/>
        <w:sectPr w:rsidSect="004A3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BC0" w:rsidP="004A3BC0">
      <w:pPr>
        <w:pStyle w:val="SuperHeading"/>
      </w:pPr>
      <w:r w:rsidRPr="004A3BC0">
        <w:t>Assessment Requirements for MEM24015 Perform digital and computed radiography</w:t>
      </w:r>
    </w:p>
    <w:p w:rsidR="00000000" w:rsidRPr="004A3BC0" w:rsidP="004A3BC0">
      <w:pPr>
        <w:pStyle w:val="Heading1"/>
      </w:pPr>
      <w:bookmarkStart w:id="1" w:name="O_1273879"/>
      <w:bookmarkEnd w:id="1"/>
      <w:r w:rsidRPr="004A3BC0">
        <w:t>Modification History</w:t>
      </w:r>
    </w:p>
    <w:p w:rsidR="00000000" w:rsidRPr="004A3BC0" w:rsidP="00621445">
      <w:pPr>
        <w:pStyle w:val="BodyText"/>
      </w:pPr>
      <w:r w:rsidRPr="004A3BC0">
        <w:t xml:space="preserve">Release 1. New unit. </w:t>
      </w:r>
    </w:p>
    <w:p w:rsidR="00000000" w:rsidRPr="004A3BC0" w:rsidP="004A3BC0">
      <w:pPr>
        <w:pStyle w:val="Heading1"/>
      </w:pPr>
      <w:bookmarkStart w:id="2" w:name="O_1273880"/>
      <w:bookmarkEnd w:id="2"/>
      <w:r w:rsidRPr="004A3BC0">
        <w:t>Performance Evidence</w:t>
      </w:r>
    </w:p>
    <w:p w:rsidR="00000000" w:rsidRPr="004A3BC0" w:rsidP="00621445">
      <w:pPr>
        <w:pStyle w:val="BodyText"/>
      </w:pPr>
      <w:r w:rsidRPr="004A3BC0">
        <w:t>There must be evidence the candidate has demonstrated the ability to:</w:t>
      </w:r>
    </w:p>
    <w:p w:rsidR="00000000" w:rsidRPr="004A3BC0" w:rsidP="004A3BC0">
      <w:pPr>
        <w:pStyle w:val="ListBullet"/>
      </w:pPr>
      <w:r w:rsidRPr="004A3BC0">
        <w:t>prepare two sites for digital radiography</w:t>
      </w:r>
    </w:p>
    <w:p w:rsidR="00000000" w:rsidRPr="004A3BC0" w:rsidP="004A3BC0">
      <w:pPr>
        <w:pStyle w:val="ListBullet"/>
      </w:pPr>
      <w:r w:rsidRPr="004A3BC0">
        <w:t xml:space="preserve">prepare two sites for computed radiography </w:t>
      </w:r>
    </w:p>
    <w:p w:rsidR="00000000" w:rsidRPr="004A3BC0" w:rsidP="004A3BC0">
      <w:pPr>
        <w:pStyle w:val="ListBullet"/>
      </w:pPr>
      <w:r w:rsidRPr="004A3BC0">
        <w:t>using measures to avoid or minimise radiation exposure to self and others for at least one test occasion, selecting a real time radiography reading station location for m</w:t>
      </w:r>
      <w:r w:rsidRPr="004A3BC0">
        <w:t xml:space="preserve">aximum safety and efficiency </w:t>
      </w:r>
    </w:p>
    <w:p w:rsidR="00000000" w:rsidRPr="004A3BC0" w:rsidP="004A3BC0">
      <w:pPr>
        <w:pStyle w:val="ListBullet"/>
      </w:pPr>
      <w:r w:rsidRPr="004A3BC0">
        <w:t xml:space="preserve">use radiation dosimeter to monitor personal exposure to radiation </w:t>
      </w:r>
    </w:p>
    <w:p w:rsidR="00000000" w:rsidRPr="004A3BC0" w:rsidP="004A3BC0">
      <w:pPr>
        <w:pStyle w:val="ListBullet"/>
      </w:pPr>
      <w:r w:rsidRPr="004A3BC0">
        <w:t>prepare area for digital radiographic testing on at least three occasions</w:t>
      </w:r>
    </w:p>
    <w:p w:rsidR="00000000" w:rsidRPr="004A3BC0" w:rsidP="004A3BC0">
      <w:pPr>
        <w:pStyle w:val="ListBullet"/>
      </w:pPr>
      <w:r w:rsidRPr="004A3BC0">
        <w:t>select the most appropriate digital radiographic test technique for the material or a</w:t>
      </w:r>
      <w:r w:rsidRPr="004A3BC0">
        <w:t>pplication</w:t>
      </w:r>
    </w:p>
    <w:p w:rsidR="00000000" w:rsidRPr="004A3BC0" w:rsidP="004A3BC0">
      <w:pPr>
        <w:pStyle w:val="ListBullet"/>
      </w:pPr>
      <w:r w:rsidRPr="004A3BC0">
        <w:t>optimise the quality of digital radiographic test set-up for different geometries and/or specialised applications</w:t>
      </w:r>
    </w:p>
    <w:p w:rsidR="00000000" w:rsidRPr="004A3BC0" w:rsidP="004A3BC0">
      <w:pPr>
        <w:pStyle w:val="ListBullet"/>
      </w:pPr>
      <w:r w:rsidRPr="004A3BC0">
        <w:t>use digital radiography to perform at least three of the following radiographic test techniques on one occasion each:</w:t>
      </w:r>
    </w:p>
    <w:p w:rsidR="00000000" w:rsidRPr="004A3BC0" w:rsidP="004A3BC0">
      <w:pPr>
        <w:pStyle w:val="ListBullet2"/>
      </w:pPr>
      <w:r w:rsidRPr="004A3BC0">
        <w:t>single wall,</w:t>
      </w:r>
      <w:r w:rsidRPr="004A3BC0">
        <w:t xml:space="preserve"> single image (plate)</w:t>
      </w:r>
    </w:p>
    <w:p w:rsidR="00000000" w:rsidRPr="004A3BC0" w:rsidP="004A3BC0">
      <w:pPr>
        <w:pStyle w:val="ListBullet2"/>
      </w:pPr>
      <w:r w:rsidRPr="004A3BC0">
        <w:t>double wall, single image (tube)</w:t>
      </w:r>
    </w:p>
    <w:p w:rsidR="00000000" w:rsidRPr="004A3BC0" w:rsidP="004A3BC0">
      <w:pPr>
        <w:pStyle w:val="ListBullet2"/>
      </w:pPr>
      <w:r w:rsidRPr="004A3BC0">
        <w:t>double wall, double image</w:t>
      </w:r>
    </w:p>
    <w:p w:rsidR="00000000" w:rsidRPr="004A3BC0" w:rsidP="004A3BC0">
      <w:pPr>
        <w:pStyle w:val="ListBullet2"/>
      </w:pPr>
      <w:r w:rsidRPr="004A3BC0">
        <w:t>double wall, double image, source superimposed</w:t>
      </w:r>
    </w:p>
    <w:p w:rsidR="00000000" w:rsidRPr="004A3BC0" w:rsidP="004A3BC0">
      <w:pPr>
        <w:pStyle w:val="ListBullet"/>
      </w:pPr>
      <w:r w:rsidRPr="004A3BC0">
        <w:t>process acquired digital radiographic images for viewing</w:t>
      </w:r>
    </w:p>
    <w:p w:rsidR="00000000" w:rsidRPr="004A3BC0" w:rsidP="004A3BC0">
      <w:pPr>
        <w:pStyle w:val="ListBullet"/>
      </w:pPr>
      <w:r w:rsidRPr="004A3BC0">
        <w:t>enhance or modify acquired digital image to optimise defect detection</w:t>
      </w:r>
    </w:p>
    <w:p w:rsidR="00000000" w:rsidRPr="004A3BC0" w:rsidP="004A3BC0">
      <w:pPr>
        <w:pStyle w:val="ListBullet"/>
      </w:pPr>
      <w:r w:rsidRPr="004A3BC0">
        <w:t xml:space="preserve">interpret and evaluate digital radiographs including checking and confirming indicators and identifying defects </w:t>
      </w:r>
    </w:p>
    <w:p w:rsidR="00000000" w:rsidRPr="004A3BC0" w:rsidP="004A3BC0">
      <w:pPr>
        <w:pStyle w:val="ListBullet"/>
      </w:pPr>
      <w:r w:rsidRPr="004A3BC0">
        <w:t>classify defects in accordance with job specifications and national and international codes and standards</w:t>
      </w:r>
    </w:p>
    <w:p w:rsidR="00000000" w:rsidRPr="004A3BC0" w:rsidP="004A3BC0">
      <w:pPr>
        <w:pStyle w:val="ListBullet"/>
      </w:pPr>
      <w:r w:rsidRPr="004A3BC0">
        <w:t xml:space="preserve">report test results and complete job </w:t>
      </w:r>
      <w:r w:rsidRPr="004A3BC0">
        <w:t xml:space="preserve">records in accordance with procedures relevant Australian and international codes and standards </w:t>
      </w:r>
    </w:p>
    <w:p w:rsidR="00000000" w:rsidRPr="004A3BC0" w:rsidP="004A3BC0">
      <w:pPr>
        <w:pStyle w:val="ListBullet"/>
      </w:pPr>
      <w:r w:rsidRPr="004A3BC0">
        <w:t>calibrate digital radiography equipment on at least two occasions including using phantoms and reference images</w:t>
      </w:r>
    </w:p>
    <w:p w:rsidR="00000000" w:rsidRPr="004A3BC0" w:rsidP="004A3BC0">
      <w:pPr>
        <w:pStyle w:val="ListBullet"/>
      </w:pPr>
      <w:r w:rsidRPr="004A3BC0">
        <w:t>minimise environmental impact of digital radiog</w:t>
      </w:r>
      <w:r w:rsidRPr="004A3BC0">
        <w:t>raphic tests.</w:t>
      </w:r>
    </w:p>
    <w:p w:rsidR="00000000" w:rsidRPr="004A3BC0" w:rsidP="004A3BC0">
      <w:pPr>
        <w:pStyle w:val="BodyText"/>
      </w:pPr>
    </w:p>
    <w:p w:rsidR="00000000" w:rsidRPr="00621445" w:rsidP="00621445">
      <w:pPr>
        <w:pStyle w:val="BodyText"/>
        <w:rPr>
          <w:i/>
        </w:rPr>
      </w:pPr>
      <w:r w:rsidRPr="00621445">
        <w:rPr>
          <w:rStyle w:val="Emphasis"/>
        </w:rPr>
        <w:t>Note: Where a volume and/or frequency is not specified, demonstration must be provided at least once.</w:t>
      </w:r>
    </w:p>
    <w:p w:rsidR="00000000" w:rsidRPr="004A3BC0" w:rsidP="004A3BC0">
      <w:pPr>
        <w:pStyle w:val="Heading1"/>
      </w:pPr>
      <w:bookmarkStart w:id="3" w:name="O_1273881"/>
      <w:bookmarkEnd w:id="3"/>
      <w:r w:rsidRPr="004A3BC0">
        <w:t>Knowledge Evidence</w:t>
      </w:r>
    </w:p>
    <w:p w:rsidR="00000000" w:rsidRPr="004A3BC0" w:rsidP="00621445">
      <w:pPr>
        <w:pStyle w:val="BodyText"/>
      </w:pPr>
      <w:r w:rsidRPr="004A3BC0">
        <w:t>There must be evidence the candidate has knowledge of:</w:t>
      </w:r>
    </w:p>
    <w:p w:rsidR="00000000" w:rsidRPr="004A3BC0" w:rsidP="004A3BC0">
      <w:pPr>
        <w:pStyle w:val="ListBullet"/>
      </w:pPr>
      <w:r w:rsidRPr="004A3BC0">
        <w:t>standards, codes and regulations relevant to handling and storing digital radiographic equipment and radiation sources</w:t>
      </w:r>
    </w:p>
    <w:p w:rsidR="00000000" w:rsidRPr="004A3BC0" w:rsidP="004A3BC0">
      <w:pPr>
        <w:pStyle w:val="ListBullet"/>
      </w:pPr>
      <w:r w:rsidRPr="004A3BC0">
        <w:t>advantages and disadvantages of film and digital radiography</w:t>
      </w:r>
    </w:p>
    <w:p w:rsidR="00000000" w:rsidRPr="004A3BC0" w:rsidP="004A3BC0">
      <w:pPr>
        <w:pStyle w:val="ListBullet"/>
      </w:pPr>
      <w:r w:rsidRPr="004A3BC0">
        <w:t xml:space="preserve">safety features of radioisotope cameras and X-ray equipment </w:t>
      </w:r>
    </w:p>
    <w:p w:rsidR="00000000" w:rsidRPr="004A3BC0" w:rsidP="004A3BC0">
      <w:pPr>
        <w:pStyle w:val="ListBullet"/>
      </w:pPr>
      <w:r w:rsidRPr="004A3BC0">
        <w:t xml:space="preserve">principles and </w:t>
      </w:r>
      <w:r w:rsidRPr="004A3BC0">
        <w:t>stages of digital radiography including:</w:t>
      </w:r>
    </w:p>
    <w:p w:rsidR="00000000" w:rsidRPr="004A3BC0" w:rsidP="004A3BC0">
      <w:pPr>
        <w:pStyle w:val="ListBullet2"/>
      </w:pPr>
      <w:r w:rsidRPr="004A3BC0">
        <w:t xml:space="preserve">set up and optimisation </w:t>
      </w:r>
    </w:p>
    <w:p w:rsidR="00000000" w:rsidRPr="004A3BC0" w:rsidP="004A3BC0">
      <w:pPr>
        <w:pStyle w:val="ListBullet2"/>
      </w:pPr>
      <w:r w:rsidRPr="004A3BC0">
        <w:t>image capture</w:t>
      </w:r>
    </w:p>
    <w:p w:rsidR="00000000" w:rsidRPr="004A3BC0" w:rsidP="004A3BC0">
      <w:pPr>
        <w:pStyle w:val="ListBullet2"/>
      </w:pPr>
      <w:r w:rsidRPr="004A3BC0">
        <w:t>mapping</w:t>
      </w:r>
    </w:p>
    <w:p w:rsidR="00000000" w:rsidRPr="004A3BC0" w:rsidP="004A3BC0">
      <w:pPr>
        <w:pStyle w:val="ListBullet2"/>
      </w:pPr>
      <w:r w:rsidRPr="004A3BC0">
        <w:t>image reading (CR)</w:t>
      </w:r>
    </w:p>
    <w:p w:rsidR="00000000" w:rsidRPr="004A3BC0" w:rsidP="004A3BC0">
      <w:pPr>
        <w:pStyle w:val="ListBullet2"/>
      </w:pPr>
      <w:r w:rsidRPr="004A3BC0">
        <w:t>image processing</w:t>
      </w:r>
    </w:p>
    <w:p w:rsidR="00000000" w:rsidRPr="004A3BC0" w:rsidP="004A3BC0">
      <w:pPr>
        <w:pStyle w:val="ListBullet2"/>
      </w:pPr>
      <w:r w:rsidRPr="004A3BC0">
        <w:t>image manipulation and magnification</w:t>
      </w:r>
    </w:p>
    <w:p w:rsidR="00000000" w:rsidRPr="004A3BC0" w:rsidP="004A3BC0">
      <w:pPr>
        <w:pStyle w:val="ListBullet2"/>
      </w:pPr>
      <w:r w:rsidRPr="004A3BC0">
        <w:t>image analysis</w:t>
      </w:r>
    </w:p>
    <w:p w:rsidR="00000000" w:rsidRPr="004A3BC0" w:rsidP="004A3BC0">
      <w:pPr>
        <w:pStyle w:val="ListBullet2"/>
      </w:pPr>
      <w:r w:rsidRPr="004A3BC0">
        <w:t>reporting</w:t>
      </w:r>
    </w:p>
    <w:p w:rsidR="00000000" w:rsidRPr="004A3BC0" w:rsidP="004A3BC0">
      <w:pPr>
        <w:pStyle w:val="ListBullet"/>
      </w:pPr>
      <w:r w:rsidRPr="004A3BC0">
        <w:t xml:space="preserve">applications and differences between digital radiography techniques </w:t>
      </w:r>
      <w:r w:rsidRPr="004A3BC0">
        <w:t>including direct radiography (DR), digital detector arrays (DDA), and computed radiography (CR)</w:t>
      </w:r>
    </w:p>
    <w:p w:rsidR="00000000" w:rsidRPr="004A3BC0" w:rsidP="004A3BC0">
      <w:pPr>
        <w:pStyle w:val="ListBullet"/>
      </w:pPr>
      <w:r w:rsidRPr="004A3BC0">
        <w:t xml:space="preserve">procedures for carrying out each type of radiographic test and for specialised radiographic applications </w:t>
      </w:r>
    </w:p>
    <w:p w:rsidR="00000000" w:rsidRPr="004A3BC0" w:rsidP="004A3BC0">
      <w:pPr>
        <w:pStyle w:val="ListBullet"/>
      </w:pPr>
      <w:r w:rsidRPr="004A3BC0">
        <w:t>p</w:t>
      </w:r>
      <w:r w:rsidRPr="004A3BC0">
        <w:t xml:space="preserve">rincipal types of X-ray generators and radioisotopes and their effect on radiographic sensitivity </w:t>
      </w:r>
    </w:p>
    <w:p w:rsidR="00000000" w:rsidRPr="004A3BC0" w:rsidP="004A3BC0">
      <w:pPr>
        <w:pStyle w:val="ListBullet"/>
      </w:pPr>
      <w:r w:rsidRPr="004A3BC0">
        <w:t xml:space="preserve">cleaning and preparation processes for a range of test surfaces </w:t>
      </w:r>
    </w:p>
    <w:p w:rsidR="00000000" w:rsidRPr="004A3BC0" w:rsidP="004A3BC0">
      <w:pPr>
        <w:pStyle w:val="ListBullet"/>
      </w:pPr>
      <w:r w:rsidRPr="004A3BC0">
        <w:t xml:space="preserve">types of discontinuities and their consequences/effect on the material </w:t>
      </w:r>
    </w:p>
    <w:p w:rsidR="00000000" w:rsidRPr="004A3BC0" w:rsidP="004A3BC0">
      <w:pPr>
        <w:pStyle w:val="ListBullet"/>
      </w:pPr>
      <w:r w:rsidRPr="004A3BC0">
        <w:t>equipment calibratio</w:t>
      </w:r>
      <w:r w:rsidRPr="004A3BC0">
        <w:t>n checks including:</w:t>
      </w:r>
    </w:p>
    <w:p w:rsidR="00000000" w:rsidRPr="004A3BC0" w:rsidP="004A3BC0">
      <w:pPr>
        <w:pStyle w:val="ListBullet2"/>
      </w:pPr>
      <w:r w:rsidRPr="004A3BC0">
        <w:t>laser beam jitter and flare</w:t>
      </w:r>
    </w:p>
    <w:p w:rsidR="00000000" w:rsidRPr="004A3BC0" w:rsidP="004A3BC0">
      <w:pPr>
        <w:pStyle w:val="ListBullet2"/>
      </w:pPr>
      <w:r w:rsidRPr="004A3BC0">
        <w:t>beam alignment</w:t>
      </w:r>
    </w:p>
    <w:p w:rsidR="00000000" w:rsidRPr="004A3BC0" w:rsidP="004A3BC0">
      <w:pPr>
        <w:pStyle w:val="ListBullet2"/>
      </w:pPr>
      <w:r w:rsidRPr="004A3BC0">
        <w:t xml:space="preserve">spatial resolution </w:t>
      </w:r>
    </w:p>
    <w:p w:rsidR="00000000" w:rsidRPr="004A3BC0" w:rsidP="004A3BC0">
      <w:pPr>
        <w:pStyle w:val="ListBullet2"/>
      </w:pPr>
      <w:r w:rsidRPr="004A3BC0">
        <w:t>line pair resolution</w:t>
      </w:r>
    </w:p>
    <w:p w:rsidR="00000000" w:rsidRPr="004A3BC0" w:rsidP="004A3BC0">
      <w:pPr>
        <w:pStyle w:val="ListBullet2"/>
      </w:pPr>
      <w:r w:rsidRPr="004A3BC0">
        <w:t xml:space="preserve">unsharpness </w:t>
      </w:r>
    </w:p>
    <w:p w:rsidR="00000000" w:rsidRPr="004A3BC0" w:rsidP="004A3BC0">
      <w:pPr>
        <w:pStyle w:val="ListBullet2"/>
      </w:pPr>
      <w:r w:rsidRPr="004A3BC0">
        <w:t>shading correction</w:t>
      </w:r>
    </w:p>
    <w:p w:rsidR="00000000" w:rsidRPr="004A3BC0" w:rsidP="004A3BC0">
      <w:pPr>
        <w:pStyle w:val="ListBullet2"/>
      </w:pPr>
      <w:r w:rsidRPr="004A3BC0">
        <w:t>image plate or cassette positioning</w:t>
      </w:r>
    </w:p>
    <w:p w:rsidR="00000000" w:rsidRPr="004A3BC0" w:rsidP="004A3BC0">
      <w:pPr>
        <w:pStyle w:val="ListBullet2"/>
      </w:pPr>
      <w:r w:rsidRPr="004A3BC0">
        <w:t xml:space="preserve">linearity </w:t>
      </w:r>
    </w:p>
    <w:p w:rsidR="00000000" w:rsidRPr="004A3BC0" w:rsidP="004A3BC0">
      <w:pPr>
        <w:pStyle w:val="ListBullet2"/>
      </w:pPr>
      <w:r w:rsidRPr="004A3BC0">
        <w:t>contrast sensitivity</w:t>
      </w:r>
    </w:p>
    <w:p w:rsidR="00000000" w:rsidRPr="004A3BC0" w:rsidP="004A3BC0">
      <w:pPr>
        <w:pStyle w:val="ListBullet"/>
      </w:pPr>
      <w:r w:rsidRPr="004A3BC0">
        <w:t>measuring tool calibration</w:t>
      </w:r>
    </w:p>
    <w:p w:rsidR="00000000" w:rsidRPr="004A3BC0" w:rsidP="004A3BC0">
      <w:pPr>
        <w:pStyle w:val="ListBullet"/>
      </w:pPr>
      <w:r w:rsidRPr="004A3BC0">
        <w:t>absorption of ionizing radiation by matter and the biological effects on living tissue</w:t>
      </w:r>
    </w:p>
    <w:p w:rsidR="00000000" w:rsidRPr="004A3BC0" w:rsidP="004A3BC0">
      <w:pPr>
        <w:pStyle w:val="ListBullet"/>
      </w:pPr>
      <w:r w:rsidRPr="004A3BC0">
        <w:t xml:space="preserve">X-ray equipment </w:t>
      </w:r>
    </w:p>
    <w:p w:rsidR="00000000" w:rsidRPr="004A3BC0" w:rsidP="004A3BC0">
      <w:pPr>
        <w:pStyle w:val="ListBullet"/>
      </w:pPr>
      <w:r w:rsidRPr="004A3BC0">
        <w:t xml:space="preserve">gamma ray sources </w:t>
      </w:r>
    </w:p>
    <w:p w:rsidR="00000000" w:rsidRPr="004A3BC0" w:rsidP="004A3BC0">
      <w:pPr>
        <w:pStyle w:val="ListBullet"/>
      </w:pPr>
      <w:r w:rsidRPr="004A3BC0">
        <w:t>shielding thickness calculation methods</w:t>
      </w:r>
    </w:p>
    <w:p w:rsidR="00000000" w:rsidRPr="004A3BC0" w:rsidP="004A3BC0">
      <w:pPr>
        <w:pStyle w:val="ListBullet"/>
      </w:pPr>
      <w:r w:rsidRPr="004A3BC0">
        <w:t xml:space="preserve">exposure calculations and techniques </w:t>
      </w:r>
    </w:p>
    <w:p w:rsidR="00621445" w:rsidP="004A3BC0">
      <w:pPr>
        <w:pStyle w:val="ListBullet"/>
      </w:pPr>
      <w:r w:rsidRPr="004A3BC0">
        <w:t>reciprocity law.</w:t>
      </w:r>
    </w:p>
    <w:p w:rsidR="00621445" w:rsidP="004A3BC0">
      <w:pPr>
        <w:pStyle w:val="ListBullet"/>
      </w:pPr>
    </w:p>
    <w:p w:rsidR="00000000" w:rsidRPr="004A3BC0" w:rsidP="004A3BC0">
      <w:pPr>
        <w:pStyle w:val="Heading1"/>
      </w:pPr>
      <w:bookmarkStart w:id="4" w:name="O_1273882"/>
      <w:bookmarkEnd w:id="4"/>
      <w:r w:rsidRPr="004A3BC0">
        <w:t>Assessment Conditi</w:t>
      </w:r>
      <w:r w:rsidRPr="004A3BC0">
        <w:t>ons</w:t>
      </w:r>
    </w:p>
    <w:p w:rsidR="00000000" w:rsidRPr="004A3BC0" w:rsidP="004A3BC0">
      <w:pPr>
        <w:pStyle w:val="ListBullet"/>
      </w:pPr>
      <w:r w:rsidRPr="004A3BC0">
        <w:t>Assessors must:</w:t>
      </w:r>
    </w:p>
    <w:p w:rsidR="00000000" w:rsidRPr="004A3BC0" w:rsidP="004A3BC0">
      <w:pPr>
        <w:pStyle w:val="ListBullet2"/>
      </w:pPr>
      <w:r w:rsidRPr="004A3BC0">
        <w:t>have vocational competency in performing radiographic testing at least to the level being assessed with relevant industry knowledge and experience</w:t>
      </w:r>
    </w:p>
    <w:p w:rsidR="00000000" w:rsidRPr="004A3BC0" w:rsidP="004A3BC0">
      <w:pPr>
        <w:pStyle w:val="ListBullet2"/>
      </w:pPr>
      <w:r w:rsidRPr="004A3BC0">
        <w:t xml:space="preserve">satisfy the assessor requirements in the </w:t>
      </w:r>
      <w:r w:rsidRPr="004A3BC0">
        <w:rPr>
          <w:rStyle w:val="Emphasis"/>
        </w:rPr>
        <w:t>Standards for Registered Training Organisation</w:t>
      </w:r>
      <w:r w:rsidRPr="004A3BC0">
        <w:rPr>
          <w:rStyle w:val="Emphasis"/>
        </w:rPr>
        <w:t xml:space="preserve">s 2015 </w:t>
      </w:r>
      <w:r w:rsidRPr="004A3BC0">
        <w:t xml:space="preserve">or its replacement and comply with the </w:t>
      </w:r>
      <w:r w:rsidRPr="004A3BC0">
        <w:rPr>
          <w:rStyle w:val="Emphasis"/>
        </w:rPr>
        <w:t>National Vocational Education and Training Regulator Act 2011</w:t>
      </w:r>
      <w:r w:rsidRPr="004A3BC0">
        <w:t>, its replacement or equivalent legislation covering VET regulation in a non-referring state/territory as the case requires.</w:t>
      </w:r>
    </w:p>
    <w:p w:rsidR="00000000" w:rsidRPr="004A3BC0" w:rsidP="004A3BC0">
      <w:pPr>
        <w:pStyle w:val="ListBullet"/>
      </w:pPr>
      <w:r w:rsidRPr="004A3BC0">
        <w:t>Where possible, assessm</w:t>
      </w:r>
      <w:r w:rsidRPr="004A3BC0">
        <w:t>ent must occur in operational workplace situations. Where this is not possible or where personal safety or environmental damage are limiting factors, assessment must occur in a sufficiently rigorous simulated environment that reflects realistic operational</w:t>
      </w:r>
      <w:r w:rsidRPr="004A3BC0">
        <w:t xml:space="preserve"> workplace conditions that cover all aspects of workplace performance, including environment, task skills, task management skills, contingency management skills and job role environment skills.</w:t>
      </w:r>
    </w:p>
    <w:p w:rsidR="00000000" w:rsidRPr="004A3BC0" w:rsidP="004A3BC0">
      <w:pPr>
        <w:pStyle w:val="ListBullet"/>
      </w:pPr>
      <w:r w:rsidRPr="004A3BC0">
        <w:t>There must be access to all tools, equipment, materials and do</w:t>
      </w:r>
      <w:r w:rsidRPr="004A3BC0">
        <w:t>cumentation required, including relevant workplace procedures, product and manufacturing specifications.</w:t>
      </w:r>
    </w:p>
    <w:p w:rsidR="00000000" w:rsidRPr="004A3BC0" w:rsidP="004A3BC0">
      <w:pPr>
        <w:pStyle w:val="ListBullet"/>
      </w:pPr>
      <w:r w:rsidRPr="004A3BC0">
        <w:t>Assessment processes and techniques must be appropriate to the language, literacy and numeracy requirements of the work being performed and the needs of the candidate.</w:t>
      </w:r>
    </w:p>
    <w:p w:rsidR="00000000" w:rsidRPr="004A3BC0" w:rsidP="004A3BC0">
      <w:pPr>
        <w:pStyle w:val="AllowPageBreak"/>
      </w:pPr>
    </w:p>
    <w:p w:rsidR="00000000" w:rsidRPr="004A3BC0" w:rsidP="004A3BC0">
      <w:pPr>
        <w:pStyle w:val="Heading1"/>
      </w:pPr>
      <w:bookmarkStart w:id="5" w:name="O_1273885"/>
      <w:bookmarkEnd w:id="5"/>
      <w:r w:rsidRPr="004A3BC0">
        <w:t>Links</w:t>
      </w:r>
    </w:p>
    <w:p w:rsidR="00000000" w:rsidRPr="004A3BC0" w:rsidP="00621445">
      <w:pPr>
        <w:pStyle w:val="BodyText"/>
      </w:pPr>
      <w:r w:rsidRPr="004A3B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2EA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A3BC0" w:rsidP="004A3BC0"/>
    <w:sectPr w:rsidSect="004A3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C0" w:rsidRPr="00621445" w:rsidP="00621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45" w:rsidP="004A3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445" w:rsidP="004A3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1445" w:rsidP="004A3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BC0" w:rsidRPr="00621445" w:rsidP="00621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45" w:rsidRPr="002D2AF8" w:rsidP="004A3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MEM24015 Perform digital and computed radiography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21445" w:rsidP="004A3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44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C87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01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BC0"/>
  </w:style>
  <w:style w:type="character" w:customStyle="1" w:styleId="Heading1Char">
    <w:name w:val="Heading 1 Char"/>
    <w:basedOn w:val="DefaultParagraphFont"/>
    <w:link w:val="Heading1"/>
    <w:rsid w:val="004A3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B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B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3BC0"/>
    <w:rPr>
      <w:i/>
    </w:rPr>
  </w:style>
  <w:style w:type="paragraph" w:customStyle="1" w:styleId="SuperHeading">
    <w:name w:val="SuperHeading"/>
    <w:basedOn w:val="Normal"/>
    <w:rsid w:val="004A3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BC0"/>
    <w:rPr>
      <w:b/>
      <w:spacing w:val="0"/>
    </w:rPr>
  </w:style>
  <w:style w:type="paragraph" w:customStyle="1" w:styleId="SuperTitle">
    <w:name w:val="SuperTitle"/>
    <w:basedOn w:val="Title"/>
    <w:rsid w:val="004A3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B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BC0"/>
  </w:style>
  <w:style w:type="paragraph" w:styleId="TableofFigures">
    <w:name w:val="table of figures"/>
    <w:basedOn w:val="Normal"/>
    <w:next w:val="Normal"/>
    <w:semiHidden/>
    <w:rsid w:val="004A3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B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BC0"/>
    <w:rPr>
      <w:rFonts w:ascii="Wingdings" w:hAnsi="Wingdings"/>
    </w:rPr>
  </w:style>
  <w:style w:type="paragraph" w:customStyle="1" w:styleId="TableHeading">
    <w:name w:val="Table Heading"/>
    <w:basedOn w:val="HeadingBase"/>
    <w:rsid w:val="004A3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BC0"/>
    <w:rPr>
      <w:color w:val="0033CC"/>
      <w:u w:val="none"/>
    </w:rPr>
  </w:style>
  <w:style w:type="paragraph" w:customStyle="1" w:styleId="BodyTextRight">
    <w:name w:val="Body Text Right"/>
    <w:basedOn w:val="BodyText"/>
    <w:rsid w:val="004A3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B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BC0"/>
    <w:rPr>
      <w:sz w:val="32"/>
    </w:rPr>
  </w:style>
  <w:style w:type="paragraph" w:customStyle="1" w:styleId="HeadingProcedure">
    <w:name w:val="Heading Procedure"/>
    <w:basedOn w:val="HeadingBase"/>
    <w:next w:val="Normal"/>
    <w:rsid w:val="004A3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BC0"/>
    <w:pPr>
      <w:spacing w:before="60" w:after="60"/>
    </w:pPr>
  </w:style>
  <w:style w:type="paragraph" w:styleId="ListContinue">
    <w:name w:val="List Continue"/>
    <w:basedOn w:val="List"/>
    <w:rsid w:val="004A3BC0"/>
    <w:pPr>
      <w:ind w:firstLine="0"/>
    </w:pPr>
  </w:style>
  <w:style w:type="paragraph" w:customStyle="1" w:styleId="ListNote">
    <w:name w:val="List Note"/>
    <w:basedOn w:val="List"/>
    <w:rsid w:val="004A3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BC0"/>
    <w:rPr>
      <w:rFonts w:ascii="Courier New" w:hAnsi="Courier New"/>
    </w:rPr>
  </w:style>
  <w:style w:type="paragraph" w:customStyle="1" w:styleId="NoteBullet">
    <w:name w:val="Note Bullet"/>
    <w:basedOn w:val="Note"/>
    <w:rsid w:val="004A3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B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BC0"/>
    <w:rPr>
      <w:b/>
      <w:smallCaps/>
    </w:rPr>
  </w:style>
  <w:style w:type="paragraph" w:customStyle="1" w:styleId="TableListNumber">
    <w:name w:val="Table List Number"/>
    <w:basedOn w:val="ListNumber"/>
    <w:rsid w:val="004A3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BC0"/>
    <w:pPr>
      <w:numPr>
        <w:numId w:val="9"/>
      </w:numPr>
    </w:pPr>
  </w:style>
  <w:style w:type="paragraph" w:customStyle="1" w:styleId="ListAlpha2">
    <w:name w:val="List Alpha 2"/>
    <w:basedOn w:val="List2"/>
    <w:rsid w:val="004A3BC0"/>
    <w:pPr>
      <w:numPr>
        <w:numId w:val="8"/>
      </w:numPr>
    </w:pPr>
  </w:style>
  <w:style w:type="paragraph" w:styleId="List2">
    <w:name w:val="List 2"/>
    <w:basedOn w:val="BodyText"/>
    <w:rsid w:val="004A3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B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B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BC0"/>
    <w:pPr>
      <w:numPr>
        <w:numId w:val="4"/>
      </w:numPr>
    </w:pPr>
  </w:style>
  <w:style w:type="paragraph" w:styleId="ListContinue2">
    <w:name w:val="List Continue 2"/>
    <w:basedOn w:val="List2"/>
    <w:rsid w:val="004A3BC0"/>
    <w:pPr>
      <w:ind w:firstLine="0"/>
    </w:pPr>
  </w:style>
  <w:style w:type="paragraph" w:styleId="ListContinue3">
    <w:name w:val="List Continue 3"/>
    <w:basedOn w:val="List3"/>
    <w:rsid w:val="004A3BC0"/>
    <w:pPr>
      <w:ind w:left="1021" w:firstLine="0"/>
    </w:pPr>
  </w:style>
  <w:style w:type="paragraph" w:styleId="ListContinue4">
    <w:name w:val="List Continue 4"/>
    <w:basedOn w:val="List4"/>
    <w:rsid w:val="004A3BC0"/>
    <w:pPr>
      <w:ind w:firstLine="0"/>
    </w:pPr>
  </w:style>
  <w:style w:type="paragraph" w:styleId="ListContinue5">
    <w:name w:val="List Continue 5"/>
    <w:basedOn w:val="List5"/>
    <w:rsid w:val="004A3BC0"/>
    <w:pPr>
      <w:ind w:firstLine="0"/>
    </w:pPr>
  </w:style>
  <w:style w:type="paragraph" w:styleId="ListNumber3">
    <w:name w:val="List Number 3"/>
    <w:basedOn w:val="List3"/>
    <w:rsid w:val="004A3BC0"/>
    <w:pPr>
      <w:numPr>
        <w:numId w:val="5"/>
      </w:numPr>
    </w:pPr>
  </w:style>
  <w:style w:type="paragraph" w:styleId="ListNumber4">
    <w:name w:val="List Number 4"/>
    <w:basedOn w:val="List4"/>
    <w:rsid w:val="004A3BC0"/>
    <w:pPr>
      <w:numPr>
        <w:numId w:val="6"/>
      </w:numPr>
    </w:pPr>
  </w:style>
  <w:style w:type="paragraph" w:styleId="ListNumber5">
    <w:name w:val="List Number 5"/>
    <w:basedOn w:val="List5"/>
    <w:rsid w:val="004A3BC0"/>
    <w:pPr>
      <w:numPr>
        <w:numId w:val="7"/>
      </w:numPr>
    </w:pPr>
  </w:style>
  <w:style w:type="paragraph" w:styleId="BlockText">
    <w:name w:val="Block Text"/>
    <w:basedOn w:val="Normal"/>
    <w:rsid w:val="004A3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BC0"/>
    <w:rPr>
      <w:sz w:val="16"/>
      <w:vertAlign w:val="superscript"/>
    </w:rPr>
  </w:style>
  <w:style w:type="character" w:customStyle="1" w:styleId="Symbols">
    <w:name w:val="Symbols"/>
    <w:basedOn w:val="DefaultParagraphFont"/>
    <w:rsid w:val="004A3BC0"/>
    <w:rPr>
      <w:rFonts w:ascii="Symbol" w:hAnsi="Symbol"/>
    </w:rPr>
  </w:style>
  <w:style w:type="character" w:customStyle="1" w:styleId="MenuOptions">
    <w:name w:val="Menu Options"/>
    <w:basedOn w:val="DefaultParagraphFont"/>
    <w:rsid w:val="004A3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BC0"/>
    <w:rPr>
      <w:b/>
    </w:rPr>
  </w:style>
  <w:style w:type="character" w:customStyle="1" w:styleId="Underlined">
    <w:name w:val="Underlined"/>
    <w:basedOn w:val="DefaultParagraphFont"/>
    <w:rsid w:val="004A3BC0"/>
    <w:rPr>
      <w:u w:val="single"/>
    </w:rPr>
  </w:style>
  <w:style w:type="paragraph" w:customStyle="1" w:styleId="TableBodyTextRight">
    <w:name w:val="Table Body Text Right"/>
    <w:basedOn w:val="TableBodyText"/>
    <w:rsid w:val="004A3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BC0"/>
    <w:rPr>
      <w:sz w:val="18"/>
    </w:rPr>
  </w:style>
  <w:style w:type="paragraph" w:customStyle="1" w:styleId="BodySmallRight">
    <w:name w:val="Body Small Right"/>
    <w:basedOn w:val="BodyTextRight"/>
    <w:rsid w:val="004A3BC0"/>
    <w:rPr>
      <w:sz w:val="18"/>
      <w:szCs w:val="18"/>
    </w:rPr>
  </w:style>
  <w:style w:type="paragraph" w:customStyle="1" w:styleId="MarginEdition">
    <w:name w:val="Margin Edition"/>
    <w:basedOn w:val="MarginNote"/>
    <w:rsid w:val="004A3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BC0"/>
    <w:rPr>
      <w:sz w:val="2"/>
      <w:szCs w:val="2"/>
    </w:rPr>
  </w:style>
  <w:style w:type="character" w:customStyle="1" w:styleId="Small">
    <w:name w:val="Small"/>
    <w:basedOn w:val="DefaultParagraphFont"/>
    <w:rsid w:val="004A3BC0"/>
    <w:rPr>
      <w:sz w:val="16"/>
    </w:rPr>
  </w:style>
  <w:style w:type="paragraph" w:customStyle="1" w:styleId="WideTable">
    <w:name w:val="Wide Table"/>
    <w:basedOn w:val="Normal"/>
    <w:rsid w:val="004A3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BC0"/>
  </w:style>
  <w:style w:type="paragraph" w:styleId="Quote">
    <w:name w:val="Quote"/>
    <w:basedOn w:val="Heading1"/>
    <w:link w:val="QuoteChar"/>
    <w:qFormat/>
    <w:rsid w:val="004A3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BC0"/>
    <w:pPr>
      <w:pageBreakBefore/>
    </w:pPr>
  </w:style>
  <w:style w:type="paragraph" w:customStyle="1" w:styleId="Border">
    <w:name w:val="Border"/>
    <w:basedOn w:val="Normal"/>
    <w:qFormat/>
    <w:rsid w:val="004A3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BC0"/>
    <w:rPr>
      <w:u w:val="single"/>
    </w:rPr>
  </w:style>
  <w:style w:type="character" w:customStyle="1" w:styleId="BoldandItalics">
    <w:name w:val="Bold and Italics"/>
    <w:qFormat/>
    <w:rsid w:val="004A3BC0"/>
    <w:rPr>
      <w:b/>
      <w:i/>
      <w:u w:val="none"/>
    </w:rPr>
  </w:style>
  <w:style w:type="paragraph" w:styleId="BalloonText">
    <w:name w:val="Balloon Text"/>
    <w:basedOn w:val="Normal"/>
    <w:link w:val="BalloonTextChar"/>
    <w:rsid w:val="004A3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BC0"/>
    <w:pPr>
      <w:spacing w:before="0" w:after="0"/>
    </w:pPr>
  </w:style>
  <w:style w:type="paragraph" w:customStyle="1" w:styleId="BodyTextBold">
    <w:name w:val="Body Text Bold"/>
    <w:basedOn w:val="BodyText"/>
    <w:qFormat/>
    <w:rsid w:val="004A3BC0"/>
    <w:rPr>
      <w:b/>
    </w:rPr>
  </w:style>
  <w:style w:type="character" w:styleId="Hyperlink">
    <w:name w:val="Hyperlink"/>
    <w:basedOn w:val="DefaultParagraphFont"/>
    <w:uiPriority w:val="99"/>
    <w:unhideWhenUsed/>
    <w:rsid w:val="00621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4422</Characters>
  <Application>Microsoft Office Word</Application>
  <DocSecurity>0</DocSecurity>
  <Lines>110</Lines>
  <Paragraphs>84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MEM24015 Perform digital and computed radiography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