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6B5" w:rsidP="00922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MEM24014 Perform thermography tests</w:t>
      </w:r>
      <w:r>
        <w:fldChar w:fldCharType="end"/>
      </w:r>
    </w:p>
    <w:p w:rsidR="009226B5" w:rsidP="009226B5">
      <w:pPr>
        <w:pStyle w:val="Version"/>
        <w:sectPr w:rsidSect="005F4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EEE" w:rsidP="005F4EEE">
      <w:pPr>
        <w:pStyle w:val="SuperHeading"/>
      </w:pPr>
      <w:r w:rsidRPr="005F4EEE">
        <w:t>MEM24014 Perform thermography tests</w:t>
      </w:r>
    </w:p>
    <w:p w:rsidR="00000000" w:rsidRPr="005F4EEE" w:rsidP="005F4EEE">
      <w:pPr>
        <w:pStyle w:val="Heading1"/>
      </w:pPr>
      <w:bookmarkStart w:id="1" w:name="O_1273850"/>
      <w:bookmarkEnd w:id="1"/>
      <w:r w:rsidRPr="005F4EEE">
        <w:t>Modification History</w:t>
      </w:r>
    </w:p>
    <w:p w:rsidR="00000000" w:rsidRPr="005F4EEE" w:rsidP="009226B5">
      <w:pPr>
        <w:pStyle w:val="BodyText"/>
      </w:pPr>
      <w:r w:rsidRPr="005F4EEE">
        <w:t xml:space="preserve">Release 1. New unit. </w:t>
      </w:r>
    </w:p>
    <w:p w:rsidR="00000000" w:rsidRPr="005F4EEE" w:rsidP="005F4EEE">
      <w:pPr>
        <w:pStyle w:val="Heading1"/>
      </w:pPr>
      <w:bookmarkStart w:id="2" w:name="O_1273851"/>
      <w:bookmarkEnd w:id="2"/>
      <w:r w:rsidRPr="005F4EEE">
        <w:t>Application</w:t>
      </w:r>
    </w:p>
    <w:p w:rsidR="00000000" w:rsidRPr="005F4EEE" w:rsidP="009226B5">
      <w:pPr>
        <w:pStyle w:val="BodyText"/>
      </w:pPr>
      <w:r w:rsidRPr="005F4EEE">
        <w:t>This unit of competency has been developed for training of non-destructive testing (NDT) technicians in performing thermography (infra-red) non-destructive tests, including quantitat</w:t>
      </w:r>
      <w:r w:rsidRPr="005F4EEE">
        <w:t xml:space="preserve">ive and qualitative thermography testing. </w:t>
      </w:r>
    </w:p>
    <w:p w:rsidR="00000000" w:rsidRPr="005F4EEE" w:rsidP="009226B5">
      <w:pPr>
        <w:pStyle w:val="BodyText"/>
      </w:pPr>
      <w:r w:rsidRPr="005F4EEE">
        <w:t xml:space="preserve">The unit defines the skill and knowledge for passive and active testing of materials, the processing of infra-red images, interpretation of results, report preparation and storage for later comparative analysis. </w:t>
      </w:r>
    </w:p>
    <w:p w:rsidR="00000000" w:rsidRPr="005F4EEE" w:rsidP="009226B5">
      <w:pPr>
        <w:pStyle w:val="BodyText"/>
      </w:pPr>
      <w:r w:rsidRPr="005F4EEE">
        <w:t>Where interpretation of technical drawings is required, unit MEM09002 Interpret technical drawing should also be selected.</w:t>
      </w:r>
    </w:p>
    <w:p w:rsidR="00000000" w:rsidRPr="005F4EEE" w:rsidP="009226B5">
      <w:pPr>
        <w:pStyle w:val="BodyText"/>
      </w:pPr>
      <w:r w:rsidRPr="005F4EEE">
        <w:t>Where the selection and use of engineering measurement is required, unit MEM12023 Perform engineering measurements should also be sel</w:t>
      </w:r>
      <w:r w:rsidRPr="005F4EEE">
        <w:t xml:space="preserve">ected.  </w:t>
      </w:r>
    </w:p>
    <w:p w:rsidR="00000000" w:rsidRPr="005F4EEE" w:rsidP="009226B5">
      <w:pPr>
        <w:pStyle w:val="BodyText"/>
      </w:pPr>
      <w:r w:rsidRPr="005F4EEE">
        <w:t>Competence in this unit along with MEM30044 Apply materials technology principles to non-destructive testing may satisfy the requirements of AS 18436.7: Condition monitoring and diagnostics of machines - Requirements for qualification and assessme</w:t>
      </w:r>
      <w:r w:rsidRPr="005F4EEE">
        <w:t xml:space="preserve">nt of personnel – Part 7: Thermography. </w:t>
      </w:r>
    </w:p>
    <w:p w:rsidR="00000000" w:rsidRPr="005F4EEE" w:rsidP="009226B5">
      <w:pPr>
        <w:pStyle w:val="BodyText"/>
      </w:pPr>
      <w:r w:rsidRPr="005F4EEE">
        <w:t>No licensing, legislative or certification requirements apply to this unit at the time of publication. Certification against Australian standards may be achieved where assessment in this unit of competency is carrie</w:t>
      </w:r>
      <w:r w:rsidRPr="005F4EEE">
        <w:t>d out in conjunction with an examining authority as described in ISO 9712 Non-destructive testing — Qualification and certification of personnel.</w:t>
      </w:r>
    </w:p>
    <w:p w:rsidR="00000000" w:rsidRPr="005F4EEE" w:rsidP="009226B5">
      <w:pPr>
        <w:pStyle w:val="Heading4"/>
      </w:pPr>
      <w:r w:rsidRPr="005F4EEE">
        <w:rPr>
          <w:rStyle w:val="SpecialBold"/>
        </w:rPr>
        <w:t xml:space="preserve">Band: B </w:t>
      </w:r>
    </w:p>
    <w:p w:rsidR="00000000" w:rsidRPr="005F4EEE" w:rsidP="009226B5">
      <w:pPr>
        <w:pStyle w:val="Heading4"/>
      </w:pPr>
      <w:r w:rsidRPr="005F4EEE">
        <w:rPr>
          <w:rStyle w:val="SpecialBold"/>
        </w:rPr>
        <w:t xml:space="preserve">Unit Weight: 4 </w:t>
      </w:r>
    </w:p>
    <w:p w:rsidR="00000000" w:rsidRPr="005F4EEE" w:rsidP="005F4EEE">
      <w:pPr>
        <w:pStyle w:val="Heading1"/>
      </w:pPr>
      <w:bookmarkStart w:id="3" w:name="O_1273852"/>
      <w:bookmarkEnd w:id="3"/>
      <w:r w:rsidRPr="005F4EEE">
        <w:t>Pre-requisite Unit</w:t>
      </w:r>
    </w:p>
    <w:p w:rsidR="00000000" w:rsidRPr="005F4EEE" w:rsidP="009226B5">
      <w:pPr>
        <w:pStyle w:val="BodyText"/>
      </w:pPr>
      <w:r w:rsidRPr="005F4EEE">
        <w:t xml:space="preserve">MEM24020 Apply materials technology principles </w:t>
      </w:r>
      <w:r w:rsidRPr="005F4EEE">
        <w:t>to non-destructive testing</w:t>
      </w:r>
    </w:p>
    <w:p w:rsidR="00000000" w:rsidRPr="005F4EEE" w:rsidP="009226B5">
      <w:pPr>
        <w:pStyle w:val="BodyText"/>
      </w:pPr>
      <w:r w:rsidRPr="005F4EEE">
        <w:t>MEM30007 Select common engineering materials</w:t>
      </w:r>
    </w:p>
    <w:p w:rsidR="00000000" w:rsidRPr="005F4EEE" w:rsidP="005F4EEE">
      <w:pPr>
        <w:pStyle w:val="Heading1"/>
      </w:pPr>
      <w:bookmarkStart w:id="4" w:name="O_1273853"/>
      <w:bookmarkEnd w:id="4"/>
      <w:r w:rsidRPr="005F4EEE">
        <w:t>Competency Field</w:t>
      </w:r>
    </w:p>
    <w:p w:rsidR="00000000" w:rsidRPr="005F4EEE" w:rsidP="009226B5">
      <w:pPr>
        <w:pStyle w:val="BodyText"/>
      </w:pPr>
      <w:r w:rsidRPr="005F4EEE">
        <w:t>Non-destructive testing</w:t>
      </w:r>
    </w:p>
    <w:p w:rsidR="00000000" w:rsidRPr="005F4EEE" w:rsidP="005F4EEE">
      <w:pPr>
        <w:pStyle w:val="Heading1"/>
      </w:pPr>
      <w:bookmarkStart w:id="5" w:name="O_1273855"/>
      <w:bookmarkEnd w:id="5"/>
      <w:r w:rsidRPr="005F4EE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226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EE" w:rsidP="005F4EEE">
            <w:pPr>
              <w:pStyle w:val="BodyText"/>
            </w:pPr>
            <w:r w:rsidRPr="005F4EE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rPr>
                <w:rStyle w:val="SpecialBold"/>
              </w:rPr>
              <w:t>Performance Criteria</w:t>
            </w:r>
          </w:p>
        </w:tc>
      </w:tr>
      <w:tr w:rsidTr="009226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Performance criteria describe the performance needed to demonstrate achievement of the element.</w:t>
            </w:r>
          </w:p>
        </w:tc>
      </w:tr>
      <w:tr w:rsidTr="009226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EE" w:rsidP="005F4EEE">
            <w:pPr>
              <w:pStyle w:val="BodyText"/>
            </w:pPr>
            <w:r w:rsidRPr="005F4EEE">
              <w:t xml:space="preserve">1.1 Follow standard operating procedures (SOPs) </w:t>
            </w:r>
          </w:p>
          <w:p w:rsidR="00000000" w:rsidRPr="005F4EEE" w:rsidP="005F4EEE">
            <w:pPr>
              <w:pStyle w:val="BodyText"/>
            </w:pPr>
            <w:r w:rsidRPr="005F4EEE">
              <w:t>1.2 Comply with work health and safety</w:t>
            </w:r>
            <w:r w:rsidRPr="005F4EEE">
              <w:t xml:space="preserve"> (WHS) requirements at all times </w:t>
            </w:r>
          </w:p>
          <w:p w:rsidR="00000000" w:rsidRPr="005F4EEE" w:rsidP="005F4EEE">
            <w:pPr>
              <w:pStyle w:val="BodyText"/>
            </w:pPr>
            <w:r w:rsidRPr="005F4EEE">
              <w:t>1.3 Use appropriate personal protective equipment (PPE) in accordance with SOPs</w:t>
            </w:r>
          </w:p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 xml:space="preserve">1.4 Identify job requirements from customer specifications, job sheets or work instructions </w:t>
            </w:r>
          </w:p>
        </w:tc>
      </w:tr>
      <w:tr w:rsidTr="009226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2. Prepare for thermographic testing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EE" w:rsidP="005F4EEE">
            <w:pPr>
              <w:pStyle w:val="BodyText"/>
            </w:pPr>
            <w:r w:rsidRPr="005F4EEE">
              <w:t>2.1 Liaise with client to ensure safe and effective access to test area and test material</w:t>
            </w:r>
          </w:p>
          <w:p w:rsidR="00000000" w:rsidRPr="005F4EEE" w:rsidP="005F4EEE">
            <w:pPr>
              <w:pStyle w:val="BodyText"/>
            </w:pPr>
            <w:r w:rsidRPr="005F4EEE">
              <w:t>2.2 Identify test material inspection area</w:t>
            </w:r>
          </w:p>
          <w:p w:rsidR="00000000" w:rsidRPr="005F4EEE" w:rsidP="005F4EEE">
            <w:pPr>
              <w:pStyle w:val="BodyText"/>
            </w:pPr>
            <w:r w:rsidRPr="005F4EEE">
              <w:t>2.3 Review relevant standards and codes for requirements relevant to thermographic testing task</w:t>
            </w:r>
          </w:p>
          <w:p w:rsidR="00000000" w:rsidRPr="005F4EEE" w:rsidP="005F4EEE">
            <w:pPr>
              <w:pStyle w:val="BodyText"/>
            </w:pPr>
            <w:r w:rsidRPr="005F4EEE">
              <w:t>2.4 Clean and prepare mater</w:t>
            </w:r>
            <w:r w:rsidRPr="005F4EEE">
              <w:t xml:space="preserve">ial for testing using appropriate procedures </w:t>
            </w:r>
          </w:p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2.5 Check and prepare all test equipment in accordance with manufacturers specifications and job specification.</w:t>
            </w:r>
          </w:p>
        </w:tc>
      </w:tr>
      <w:tr w:rsidTr="009226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3. Perform thermographic testing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EE" w:rsidP="005F4EEE">
            <w:pPr>
              <w:pStyle w:val="BodyText"/>
            </w:pPr>
            <w:r w:rsidRPr="005F4EEE">
              <w:t>3.1 Select the most appropriate magnetic particle test for the m</w:t>
            </w:r>
            <w:r w:rsidRPr="005F4EEE">
              <w:t>aterial and/or application</w:t>
            </w:r>
          </w:p>
          <w:p w:rsidR="00000000" w:rsidRPr="005F4EEE" w:rsidP="005F4EEE">
            <w:pPr>
              <w:pStyle w:val="BodyText"/>
            </w:pPr>
            <w:r w:rsidRPr="005F4EEE">
              <w:t>3.2. Set up test equipment in accordance with relevant standards and job specifications</w:t>
            </w:r>
          </w:p>
          <w:p w:rsidR="00000000" w:rsidRPr="005F4EEE" w:rsidP="005F4EEE">
            <w:pPr>
              <w:pStyle w:val="BodyText"/>
            </w:pPr>
            <w:r w:rsidRPr="005F4EEE">
              <w:t>3.3 Carry out thermographic test in accordance with relevant standards and specifications</w:t>
            </w:r>
          </w:p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3.4 Check thermographic testing equipment for defec</w:t>
            </w:r>
            <w:r w:rsidRPr="005F4EEE">
              <w:t>ts, and maintain and store in accordance with procedures and manufacturer instructions</w:t>
            </w:r>
          </w:p>
        </w:tc>
      </w:tr>
      <w:tr w:rsidTr="009226B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4. Interpret and report the results of thermographic tests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EE" w:rsidP="005F4EEE">
            <w:pPr>
              <w:pStyle w:val="BodyText"/>
            </w:pPr>
            <w:r w:rsidRPr="005F4EEE">
              <w:t>4.1 Process thermographic images in accordance with standards and codes and job specifications</w:t>
            </w:r>
          </w:p>
          <w:p w:rsidR="00000000" w:rsidRPr="005F4EEE" w:rsidP="005F4EEE">
            <w:pPr>
              <w:pStyle w:val="BodyText"/>
            </w:pPr>
            <w:r w:rsidRPr="005F4EEE">
              <w:t xml:space="preserve">4.2 Determine </w:t>
            </w:r>
            <w:r w:rsidRPr="005F4EEE">
              <w:t>material condition and defects according to standards and codes and job specification acceptance criteria</w:t>
            </w:r>
          </w:p>
          <w:p w:rsidR="00000000" w:rsidRPr="005F4EEE" w:rsidP="005F4EEE">
            <w:pPr>
              <w:pStyle w:val="BodyText"/>
            </w:pPr>
            <w:r w:rsidRPr="005F4EEE">
              <w:t>4.3 Report test results in accordance with enterprise procedures, accepted industry practices and job specifications</w:t>
            </w:r>
          </w:p>
          <w:p w:rsidR="00000000" w:rsidRPr="005F4EEE" w:rsidP="005F4EEE">
            <w:pPr>
              <w:pStyle w:val="BodyText"/>
            </w:pPr>
            <w:r w:rsidRPr="005F4EEE">
              <w:t>4.4 Store and catalogue thermal i</w:t>
            </w:r>
            <w:r w:rsidRPr="005F4EEE">
              <w:t>mages for later comparative analysis</w:t>
            </w:r>
          </w:p>
        </w:tc>
      </w:tr>
    </w:tbl>
    <w:p w:rsidR="00000000" w:rsidRPr="005F4EEE" w:rsidP="005F4EEE">
      <w:pPr>
        <w:pStyle w:val="BodyText"/>
      </w:pPr>
    </w:p>
    <w:p w:rsidR="00000000" w:rsidRPr="005F4EEE" w:rsidP="005F4EEE">
      <w:pPr>
        <w:pStyle w:val="AllowPageBreak"/>
      </w:pPr>
    </w:p>
    <w:p w:rsidR="00000000" w:rsidRPr="005F4EEE" w:rsidP="005F4EEE">
      <w:pPr>
        <w:pStyle w:val="Heading1"/>
      </w:pPr>
      <w:bookmarkStart w:id="6" w:name="O_1273856"/>
      <w:bookmarkEnd w:id="6"/>
      <w:r w:rsidRPr="005F4EEE">
        <w:t>Foundation Skills</w:t>
      </w:r>
    </w:p>
    <w:p w:rsidR="00000000" w:rsidRPr="005F4EEE" w:rsidP="009226B5">
      <w:pPr>
        <w:pStyle w:val="BodyText"/>
      </w:pPr>
      <w:r w:rsidRPr="005F4EEE">
        <w:t>This section describes those language, literacy, numeracy and employment skills that are essential to performance.</w:t>
      </w:r>
    </w:p>
    <w:p w:rsidR="00000000" w:rsidRPr="005F4EEE" w:rsidP="009226B5">
      <w:pPr>
        <w:pStyle w:val="BodyText"/>
      </w:pPr>
      <w:r w:rsidRPr="005F4EEE">
        <w:t>Other foundation skills essential to performance are explicit in the performance criteria of this unit of competency.</w:t>
      </w:r>
    </w:p>
    <w:p w:rsidR="00000000" w:rsidRPr="005F4EEE" w:rsidP="005F4EEE">
      <w:pPr>
        <w:pStyle w:val="Heading1"/>
      </w:pPr>
      <w:bookmarkStart w:id="7" w:name="O_1273857"/>
      <w:bookmarkEnd w:id="7"/>
      <w:r w:rsidRPr="005F4EE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5F4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This field allows for different work environments and conditions that may affect performance. Esse</w:t>
            </w:r>
            <w:r w:rsidRPr="005F4EEE">
              <w:t>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F4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Standards and codes include  Australian or  international Standard</w:t>
            </w:r>
            <w:r w:rsidRPr="005F4EEE">
              <w:t xml:space="preserve">s and codes and include one or more of the following: 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EE" w:rsidP="005F4EEE">
            <w:pPr>
              <w:pStyle w:val="ListBullet"/>
            </w:pPr>
            <w:r w:rsidRPr="005F4EEE">
              <w:t>non-destructive testing of welds</w:t>
            </w:r>
          </w:p>
          <w:p w:rsidR="00000000" w:rsidRPr="005F4EEE" w:rsidP="005F4EEE">
            <w:pPr>
              <w:pStyle w:val="ListBullet"/>
            </w:pPr>
            <w:r w:rsidRPr="005F4EEE">
              <w:t xml:space="preserve">non-destructive testing of materials </w:t>
            </w:r>
          </w:p>
          <w:p w:rsidR="00000000" w:rsidRPr="005F4EEE" w:rsidP="005F4EEE">
            <w:pPr>
              <w:pStyle w:val="ListBullet"/>
            </w:pPr>
            <w:r w:rsidRPr="005F4EEE">
              <w:t xml:space="preserve">standards for materials used in manufacturing and engineering  </w:t>
            </w:r>
          </w:p>
          <w:p w:rsidR="00000000" w:rsidP="005F4EEE">
            <w:pPr>
              <w:pStyle w:val="ListBullet"/>
              <w:rPr>
                <w:lang w:val="en-NZ"/>
              </w:rPr>
            </w:pPr>
            <w:r w:rsidRPr="005F4EEE">
              <w:t>standards for calibration and operation of test equipment.</w:t>
            </w:r>
          </w:p>
        </w:tc>
      </w:tr>
      <w:tr w:rsidTr="005F4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4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Test material include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EE" w:rsidP="005F4EEE">
            <w:pPr>
              <w:pStyle w:val="ListBullet"/>
            </w:pPr>
            <w:r w:rsidRPr="005F4EEE">
              <w:t>ferrous and nonferrous metal:</w:t>
            </w:r>
          </w:p>
          <w:p w:rsidR="00000000" w:rsidRPr="005F4EEE" w:rsidP="005F4EEE">
            <w:pPr>
              <w:pStyle w:val="ListBullet2"/>
            </w:pPr>
            <w:r w:rsidRPr="005F4EEE">
              <w:t>castings</w:t>
            </w:r>
          </w:p>
          <w:p w:rsidR="00000000" w:rsidRPr="005F4EEE" w:rsidP="005F4EEE">
            <w:pPr>
              <w:pStyle w:val="ListBullet2"/>
            </w:pPr>
            <w:r w:rsidRPr="005F4EEE">
              <w:t>plate</w:t>
            </w:r>
          </w:p>
          <w:p w:rsidR="00000000" w:rsidRPr="005F4EEE" w:rsidP="005F4EEE">
            <w:pPr>
              <w:pStyle w:val="ListBullet2"/>
            </w:pPr>
            <w:r w:rsidRPr="005F4EEE">
              <w:t>pipe</w:t>
            </w:r>
          </w:p>
          <w:p w:rsidR="00000000" w:rsidRPr="005F4EEE" w:rsidP="005F4EEE">
            <w:pPr>
              <w:pStyle w:val="ListBullet2"/>
            </w:pPr>
            <w:r w:rsidRPr="005F4EEE">
              <w:t>welds</w:t>
            </w:r>
          </w:p>
          <w:p w:rsidR="00000000" w:rsidRPr="005F4EEE" w:rsidP="005F4EEE">
            <w:pPr>
              <w:pStyle w:val="ListBullet2"/>
            </w:pPr>
            <w:r w:rsidRPr="005F4EEE">
              <w:t>tanks</w:t>
            </w:r>
          </w:p>
          <w:p w:rsidR="00000000" w:rsidRPr="005F4EEE" w:rsidP="005F4EEE">
            <w:pPr>
              <w:pStyle w:val="ListBullet2"/>
            </w:pPr>
            <w:r w:rsidRPr="005F4EEE">
              <w:t>manufactured components</w:t>
            </w:r>
          </w:p>
          <w:p w:rsidR="00000000" w:rsidRPr="005F4EEE" w:rsidP="005F4EEE">
            <w:pPr>
              <w:pStyle w:val="ListBullet2"/>
            </w:pPr>
            <w:r w:rsidRPr="005F4EEE">
              <w:t>other ferrous and nonferrous items</w:t>
            </w:r>
          </w:p>
          <w:p w:rsidR="00000000" w:rsidRPr="005F4EEE" w:rsidP="005F4EEE">
            <w:pPr>
              <w:pStyle w:val="ListBullet"/>
            </w:pPr>
            <w:r w:rsidRPr="005F4EEE">
              <w:t>glass</w:t>
            </w:r>
          </w:p>
          <w:p w:rsidR="00000000" w:rsidRPr="005F4EEE" w:rsidP="005F4EEE">
            <w:pPr>
              <w:pStyle w:val="ListBullet"/>
            </w:pPr>
            <w:r w:rsidRPr="005F4EEE">
              <w:t>cement and concrete</w:t>
            </w:r>
          </w:p>
          <w:p w:rsidR="00000000" w:rsidRPr="005F4EEE" w:rsidP="005F4EEE">
            <w:pPr>
              <w:pStyle w:val="ListBullet"/>
            </w:pPr>
            <w:r w:rsidRPr="005F4EEE">
              <w:t>polymers and elastomers</w:t>
            </w:r>
          </w:p>
          <w:p w:rsidR="00000000" w:rsidRPr="005F4EEE" w:rsidP="005F4EEE">
            <w:pPr>
              <w:pStyle w:val="ListBullet"/>
            </w:pPr>
            <w:r w:rsidRPr="005F4EEE">
              <w:t>composites</w:t>
            </w:r>
          </w:p>
          <w:p w:rsidR="00000000" w:rsidP="005F4EEE">
            <w:pPr>
              <w:pStyle w:val="ListBullet"/>
              <w:rPr>
                <w:lang w:val="en-NZ"/>
              </w:rPr>
            </w:pPr>
            <w:r w:rsidRPr="005F4EEE">
              <w:t>textiles.</w:t>
            </w:r>
          </w:p>
        </w:tc>
      </w:tr>
      <w:tr w:rsidTr="005F4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3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EEE">
            <w:pPr>
              <w:pStyle w:val="BodyText"/>
              <w:rPr>
                <w:lang w:val="en-NZ"/>
              </w:rPr>
            </w:pPr>
            <w:r w:rsidRPr="005F4EEE">
              <w:t>Environment conditions include: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EEE" w:rsidP="005F4EEE">
            <w:pPr>
              <w:pStyle w:val="ListBullet"/>
            </w:pPr>
            <w:r w:rsidRPr="005F4EEE">
              <w:t>direct sunlight</w:t>
            </w:r>
          </w:p>
          <w:p w:rsidR="00000000" w:rsidRPr="005F4EEE" w:rsidP="005F4EEE">
            <w:pPr>
              <w:pStyle w:val="ListBullet"/>
            </w:pPr>
            <w:r w:rsidRPr="005F4EEE">
              <w:t>precipitation</w:t>
            </w:r>
          </w:p>
          <w:p w:rsidR="00000000" w:rsidRPr="005F4EEE" w:rsidP="005F4EEE">
            <w:pPr>
              <w:pStyle w:val="ListBullet"/>
            </w:pPr>
            <w:r w:rsidRPr="005F4EEE">
              <w:t>fog, mist and ice</w:t>
            </w:r>
          </w:p>
          <w:p w:rsidR="00000000" w:rsidRPr="005F4EEE" w:rsidP="005F4EEE">
            <w:pPr>
              <w:pStyle w:val="ListBullet"/>
            </w:pPr>
            <w:r w:rsidRPr="005F4EEE">
              <w:t>wind and draught.</w:t>
            </w:r>
          </w:p>
        </w:tc>
      </w:tr>
    </w:tbl>
    <w:p w:rsidR="00000000" w:rsidRPr="005F4EEE" w:rsidP="005F4EEE">
      <w:pPr>
        <w:pStyle w:val="BodyText"/>
      </w:pPr>
    </w:p>
    <w:p w:rsidR="00000000" w:rsidRPr="005F4EEE" w:rsidP="005F4EEE">
      <w:pPr>
        <w:pStyle w:val="AllowPageBreak"/>
      </w:pPr>
    </w:p>
    <w:p w:rsidR="00000000" w:rsidRPr="005F4EEE" w:rsidP="005F4EEE">
      <w:pPr>
        <w:pStyle w:val="Heading1"/>
      </w:pPr>
      <w:bookmarkStart w:id="8" w:name="O_1273858"/>
      <w:bookmarkEnd w:id="8"/>
      <w:r w:rsidRPr="005F4EEE">
        <w:t>Unit Mapping Information</w:t>
      </w:r>
    </w:p>
    <w:p w:rsidR="00000000" w:rsidRPr="005F4EEE" w:rsidP="009226B5">
      <w:pPr>
        <w:pStyle w:val="BodyText"/>
      </w:pPr>
      <w:r w:rsidRPr="005F4EEE">
        <w:t xml:space="preserve">No equivalent unit </w:t>
      </w:r>
    </w:p>
    <w:p w:rsidR="00000000" w:rsidRPr="005F4EEE" w:rsidP="005F4EEE">
      <w:pPr>
        <w:pStyle w:val="Heading1"/>
      </w:pPr>
      <w:bookmarkStart w:id="9" w:name="O_1273865"/>
      <w:bookmarkEnd w:id="9"/>
      <w:r w:rsidRPr="005F4EEE">
        <w:t>Links</w:t>
      </w:r>
    </w:p>
    <w:p w:rsidR="00000000" w:rsidRPr="005F4EEE" w:rsidP="009226B5">
      <w:pPr>
        <w:pStyle w:val="BodyText"/>
      </w:pPr>
      <w:r w:rsidRPr="005F4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8224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F4EEE" w:rsidP="005F4EEE"/>
    <w:sectPr w:rsidSect="005F4E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EE" w:rsidRPr="009226B5" w:rsidP="00922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5" w:rsidP="005F4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6B5" w:rsidP="005F4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26B5" w:rsidP="005F4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EEE" w:rsidRPr="009226B5" w:rsidP="00922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6B5" w:rsidRPr="002D2AF8" w:rsidP="005F4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MEM24014 Perform thermography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9226B5" w:rsidP="005F4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9A6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202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8A2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EEE"/>
  </w:style>
  <w:style w:type="character" w:customStyle="1" w:styleId="Heading1Char">
    <w:name w:val="Heading 1 Char"/>
    <w:basedOn w:val="DefaultParagraphFont"/>
    <w:link w:val="Heading1"/>
    <w:rsid w:val="005F4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E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EEE"/>
    <w:rPr>
      <w:b/>
      <w:spacing w:val="0"/>
    </w:rPr>
  </w:style>
  <w:style w:type="paragraph" w:styleId="ListBullet2">
    <w:name w:val="List Bullet 2"/>
    <w:basedOn w:val="List2"/>
    <w:rsid w:val="005F4E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4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E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EEE"/>
    <w:rPr>
      <w:i/>
    </w:rPr>
  </w:style>
  <w:style w:type="paragraph" w:styleId="Caption">
    <w:name w:val="caption"/>
    <w:basedOn w:val="BodyText"/>
    <w:next w:val="Normal"/>
    <w:qFormat/>
    <w:rsid w:val="005F4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EEE"/>
  </w:style>
  <w:style w:type="paragraph" w:styleId="TableofFigures">
    <w:name w:val="table of figures"/>
    <w:basedOn w:val="Normal"/>
    <w:next w:val="Normal"/>
    <w:semiHidden/>
    <w:rsid w:val="005F4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E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4EEE"/>
    <w:rPr>
      <w:rFonts w:ascii="Wingdings" w:hAnsi="Wingdings"/>
    </w:rPr>
  </w:style>
  <w:style w:type="paragraph" w:customStyle="1" w:styleId="TableHeading">
    <w:name w:val="Table Heading"/>
    <w:basedOn w:val="HeadingBase"/>
    <w:rsid w:val="005F4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EEE"/>
    <w:rPr>
      <w:color w:val="0033CC"/>
      <w:u w:val="none"/>
    </w:rPr>
  </w:style>
  <w:style w:type="paragraph" w:customStyle="1" w:styleId="BodyTextRight">
    <w:name w:val="Body Text Right"/>
    <w:basedOn w:val="BodyText"/>
    <w:rsid w:val="005F4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E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EEE"/>
    <w:rPr>
      <w:sz w:val="32"/>
    </w:rPr>
  </w:style>
  <w:style w:type="paragraph" w:customStyle="1" w:styleId="HeadingProcedure">
    <w:name w:val="Heading Procedure"/>
    <w:basedOn w:val="HeadingBase"/>
    <w:next w:val="Normal"/>
    <w:rsid w:val="005F4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EEE"/>
    <w:pPr>
      <w:spacing w:before="60" w:after="60"/>
    </w:pPr>
  </w:style>
  <w:style w:type="paragraph" w:styleId="ListContinue">
    <w:name w:val="List Continue"/>
    <w:basedOn w:val="List"/>
    <w:rsid w:val="005F4EEE"/>
    <w:pPr>
      <w:ind w:firstLine="0"/>
    </w:pPr>
  </w:style>
  <w:style w:type="paragraph" w:customStyle="1" w:styleId="ListNote">
    <w:name w:val="List Note"/>
    <w:basedOn w:val="List"/>
    <w:rsid w:val="005F4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EEE"/>
    <w:rPr>
      <w:rFonts w:ascii="Courier New" w:hAnsi="Courier New"/>
    </w:rPr>
  </w:style>
  <w:style w:type="paragraph" w:customStyle="1" w:styleId="NoteBullet">
    <w:name w:val="Note Bullet"/>
    <w:basedOn w:val="Note"/>
    <w:rsid w:val="005F4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E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EEE"/>
    <w:rPr>
      <w:b/>
      <w:smallCaps/>
    </w:rPr>
  </w:style>
  <w:style w:type="paragraph" w:customStyle="1" w:styleId="TableListNumber">
    <w:name w:val="Table List Number"/>
    <w:basedOn w:val="ListNumber"/>
    <w:rsid w:val="005F4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EEE"/>
    <w:pPr>
      <w:numPr>
        <w:numId w:val="9"/>
      </w:numPr>
    </w:pPr>
  </w:style>
  <w:style w:type="paragraph" w:customStyle="1" w:styleId="ListAlpha2">
    <w:name w:val="List Alpha 2"/>
    <w:basedOn w:val="List2"/>
    <w:rsid w:val="005F4EEE"/>
    <w:pPr>
      <w:numPr>
        <w:numId w:val="8"/>
      </w:numPr>
    </w:pPr>
  </w:style>
  <w:style w:type="paragraph" w:styleId="List2">
    <w:name w:val="List 2"/>
    <w:basedOn w:val="BodyText"/>
    <w:rsid w:val="005F4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E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E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EEE"/>
    <w:pPr>
      <w:numPr>
        <w:numId w:val="4"/>
      </w:numPr>
    </w:pPr>
  </w:style>
  <w:style w:type="paragraph" w:styleId="ListContinue2">
    <w:name w:val="List Continue 2"/>
    <w:basedOn w:val="List2"/>
    <w:rsid w:val="005F4EEE"/>
    <w:pPr>
      <w:ind w:firstLine="0"/>
    </w:pPr>
  </w:style>
  <w:style w:type="paragraph" w:styleId="ListContinue3">
    <w:name w:val="List Continue 3"/>
    <w:basedOn w:val="List3"/>
    <w:rsid w:val="005F4EEE"/>
    <w:pPr>
      <w:ind w:left="1021" w:firstLine="0"/>
    </w:pPr>
  </w:style>
  <w:style w:type="paragraph" w:styleId="ListContinue4">
    <w:name w:val="List Continue 4"/>
    <w:basedOn w:val="List4"/>
    <w:rsid w:val="005F4EEE"/>
    <w:pPr>
      <w:ind w:firstLine="0"/>
    </w:pPr>
  </w:style>
  <w:style w:type="paragraph" w:styleId="ListContinue5">
    <w:name w:val="List Continue 5"/>
    <w:basedOn w:val="List5"/>
    <w:rsid w:val="005F4EEE"/>
    <w:pPr>
      <w:ind w:firstLine="0"/>
    </w:pPr>
  </w:style>
  <w:style w:type="paragraph" w:styleId="ListNumber3">
    <w:name w:val="List Number 3"/>
    <w:basedOn w:val="List3"/>
    <w:rsid w:val="005F4EEE"/>
    <w:pPr>
      <w:numPr>
        <w:numId w:val="5"/>
      </w:numPr>
    </w:pPr>
  </w:style>
  <w:style w:type="paragraph" w:styleId="ListNumber4">
    <w:name w:val="List Number 4"/>
    <w:basedOn w:val="List4"/>
    <w:rsid w:val="005F4EEE"/>
    <w:pPr>
      <w:numPr>
        <w:numId w:val="6"/>
      </w:numPr>
    </w:pPr>
  </w:style>
  <w:style w:type="paragraph" w:styleId="ListNumber5">
    <w:name w:val="List Number 5"/>
    <w:basedOn w:val="List5"/>
    <w:rsid w:val="005F4EEE"/>
    <w:pPr>
      <w:numPr>
        <w:numId w:val="7"/>
      </w:numPr>
    </w:pPr>
  </w:style>
  <w:style w:type="paragraph" w:styleId="BlockText">
    <w:name w:val="Block Text"/>
    <w:basedOn w:val="Normal"/>
    <w:rsid w:val="005F4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EEE"/>
    <w:rPr>
      <w:sz w:val="16"/>
      <w:vertAlign w:val="superscript"/>
    </w:rPr>
  </w:style>
  <w:style w:type="character" w:customStyle="1" w:styleId="Symbols">
    <w:name w:val="Symbols"/>
    <w:basedOn w:val="DefaultParagraphFont"/>
    <w:rsid w:val="005F4EEE"/>
    <w:rPr>
      <w:rFonts w:ascii="Symbol" w:hAnsi="Symbol"/>
    </w:rPr>
  </w:style>
  <w:style w:type="character" w:customStyle="1" w:styleId="MenuOptions">
    <w:name w:val="Menu Options"/>
    <w:basedOn w:val="DefaultParagraphFont"/>
    <w:rsid w:val="005F4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EEE"/>
    <w:rPr>
      <w:b/>
    </w:rPr>
  </w:style>
  <w:style w:type="character" w:customStyle="1" w:styleId="Underlined">
    <w:name w:val="Underlined"/>
    <w:basedOn w:val="DefaultParagraphFont"/>
    <w:rsid w:val="005F4EEE"/>
    <w:rPr>
      <w:u w:val="single"/>
    </w:rPr>
  </w:style>
  <w:style w:type="paragraph" w:customStyle="1" w:styleId="TableBodyTextRight">
    <w:name w:val="Table Body Text Right"/>
    <w:basedOn w:val="TableBodyText"/>
    <w:rsid w:val="005F4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EEE"/>
    <w:rPr>
      <w:sz w:val="18"/>
    </w:rPr>
  </w:style>
  <w:style w:type="paragraph" w:customStyle="1" w:styleId="BodySmallRight">
    <w:name w:val="Body Small Right"/>
    <w:basedOn w:val="BodyTextRight"/>
    <w:rsid w:val="005F4EEE"/>
    <w:rPr>
      <w:sz w:val="18"/>
      <w:szCs w:val="18"/>
    </w:rPr>
  </w:style>
  <w:style w:type="paragraph" w:customStyle="1" w:styleId="MarginEdition">
    <w:name w:val="Margin Edition"/>
    <w:basedOn w:val="MarginNote"/>
    <w:rsid w:val="005F4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EEE"/>
    <w:rPr>
      <w:sz w:val="2"/>
      <w:szCs w:val="2"/>
    </w:rPr>
  </w:style>
  <w:style w:type="character" w:customStyle="1" w:styleId="Small">
    <w:name w:val="Small"/>
    <w:basedOn w:val="DefaultParagraphFont"/>
    <w:rsid w:val="005F4EEE"/>
    <w:rPr>
      <w:sz w:val="16"/>
    </w:rPr>
  </w:style>
  <w:style w:type="paragraph" w:customStyle="1" w:styleId="WideTable">
    <w:name w:val="Wide Table"/>
    <w:basedOn w:val="Normal"/>
    <w:rsid w:val="005F4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EEE"/>
  </w:style>
  <w:style w:type="paragraph" w:styleId="Quote">
    <w:name w:val="Quote"/>
    <w:basedOn w:val="Heading1"/>
    <w:link w:val="QuoteChar"/>
    <w:qFormat/>
    <w:rsid w:val="005F4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EEE"/>
    <w:pPr>
      <w:pageBreakBefore/>
    </w:pPr>
  </w:style>
  <w:style w:type="paragraph" w:customStyle="1" w:styleId="Border">
    <w:name w:val="Border"/>
    <w:basedOn w:val="Normal"/>
    <w:qFormat/>
    <w:rsid w:val="005F4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EEE"/>
    <w:rPr>
      <w:u w:val="single"/>
    </w:rPr>
  </w:style>
  <w:style w:type="character" w:customStyle="1" w:styleId="BoldandItalics">
    <w:name w:val="Bold and Italics"/>
    <w:qFormat/>
    <w:rsid w:val="005F4EEE"/>
    <w:rPr>
      <w:b/>
      <w:i/>
      <w:u w:val="none"/>
    </w:rPr>
  </w:style>
  <w:style w:type="paragraph" w:styleId="BalloonText">
    <w:name w:val="Balloon Text"/>
    <w:basedOn w:val="Normal"/>
    <w:link w:val="BalloonTextChar"/>
    <w:rsid w:val="005F4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EEE"/>
    <w:pPr>
      <w:spacing w:before="0" w:after="0"/>
    </w:pPr>
  </w:style>
  <w:style w:type="paragraph" w:customStyle="1" w:styleId="BodyTextBold">
    <w:name w:val="Body Text Bold"/>
    <w:basedOn w:val="BodyText"/>
    <w:qFormat/>
    <w:rsid w:val="005F4EEE"/>
    <w:rPr>
      <w:b/>
    </w:rPr>
  </w:style>
  <w:style w:type="character" w:styleId="Hyperlink">
    <w:name w:val="Hyperlink"/>
    <w:basedOn w:val="DefaultParagraphFont"/>
    <w:uiPriority w:val="99"/>
    <w:unhideWhenUsed/>
    <w:rsid w:val="00922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4482</Characters>
  <Application>Microsoft Office Word</Application>
  <DocSecurity>0</DocSecurity>
  <Lines>144</Lines>
  <Paragraphs>92</Paragraphs>
  <ScaleCrop>false</ScaleCrop>
  <Company>Author-it Software Corporation Ltd.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MEM24014 Perform thermography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2023-03-15T07:57:00Z</dcterms:created>
  <dcterms:modified xsi:type="dcterms:W3CDTF">2023-03-15T07:57:00Z</dcterms:modified>
</cp:coreProperties>
</file>