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AB6" w:rsidP="00192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MEM24006 Perform eddy current testing</w:t>
      </w:r>
      <w:r>
        <w:fldChar w:fldCharType="end"/>
      </w:r>
    </w:p>
    <w:p w:rsidR="00192AB6" w:rsidP="00192AB6">
      <w:pPr>
        <w:pStyle w:val="Version"/>
        <w:sectPr w:rsidSect="00D36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5B6" w:rsidP="00D365B6">
      <w:pPr>
        <w:pStyle w:val="SuperHeading"/>
      </w:pPr>
      <w:r w:rsidRPr="00D365B6">
        <w:t>Assessment Requirements for MEM24006 Perform eddy current testing</w:t>
      </w:r>
    </w:p>
    <w:p w:rsidR="00000000" w:rsidRPr="00D365B6" w:rsidP="00D365B6">
      <w:pPr>
        <w:pStyle w:val="Heading1"/>
      </w:pPr>
      <w:bookmarkStart w:id="1" w:name="O_1085541"/>
      <w:bookmarkEnd w:id="1"/>
      <w:r w:rsidRPr="00D365B6">
        <w:t>Modification History</w:t>
      </w:r>
    </w:p>
    <w:p w:rsidR="00000000" w:rsidRPr="00D365B6" w:rsidP="00192AB6">
      <w:pPr>
        <w:pStyle w:val="BodyText"/>
      </w:pPr>
      <w:r w:rsidRPr="00D365B6">
        <w:t>Release 1. Supersedes and is equivalent to MEM24006B Perform eddy current testing.</w:t>
      </w:r>
    </w:p>
    <w:p w:rsidR="00000000" w:rsidRPr="00D365B6" w:rsidP="00D365B6">
      <w:pPr>
        <w:pStyle w:val="Heading1"/>
      </w:pPr>
      <w:bookmarkStart w:id="2" w:name="O_1085542"/>
      <w:bookmarkEnd w:id="2"/>
      <w:r w:rsidRPr="00D365B6">
        <w:t>Performance Evidence</w:t>
      </w:r>
    </w:p>
    <w:p w:rsidR="00000000" w:rsidRPr="00D365B6" w:rsidP="00192AB6">
      <w:pPr>
        <w:pStyle w:val="BodyText"/>
      </w:pPr>
      <w:r w:rsidRPr="00D365B6">
        <w:t>Evidence required to demonstrate competence in this unit must be relevant to and satisfy the requirements of the elements and performance criteria and include:</w:t>
      </w:r>
    </w:p>
    <w:p w:rsidR="00000000" w:rsidRPr="00D365B6" w:rsidP="00D365B6">
      <w:pPr>
        <w:pStyle w:val="ListBullet"/>
      </w:pPr>
      <w:r w:rsidRPr="00D365B6">
        <w:t>following work instructions, standard operating procedures (SOPs) and safe work practices</w:t>
      </w:r>
    </w:p>
    <w:p w:rsidR="00000000" w:rsidRPr="00D365B6" w:rsidP="00D365B6">
      <w:pPr>
        <w:pStyle w:val="ListBullet"/>
      </w:pPr>
      <w:r w:rsidRPr="00D365B6">
        <w:t>ident</w:t>
      </w:r>
      <w:r w:rsidRPr="00D365B6">
        <w:t>ifying and interpreting specifications, relative testing and conformance standards for performing eddy current testing</w:t>
      </w:r>
    </w:p>
    <w:p w:rsidR="00000000" w:rsidRPr="00D365B6" w:rsidP="00D365B6">
      <w:pPr>
        <w:pStyle w:val="ListBullet"/>
      </w:pPr>
      <w:r w:rsidRPr="00D365B6">
        <w:t>preparing the area for testing and identifying discontinuities including observed changes in material homogeneity in accordance with proc</w:t>
      </w:r>
      <w:r w:rsidRPr="00D365B6">
        <w:t>edures</w:t>
      </w:r>
    </w:p>
    <w:p w:rsidR="00000000" w:rsidRPr="00D365B6" w:rsidP="00D365B6">
      <w:pPr>
        <w:pStyle w:val="ListBullet"/>
      </w:pPr>
      <w:r w:rsidRPr="00D365B6">
        <w:t>carrying out eddy current testing using techniques and equipment appropriate for material/s to be tested, checking and confirming basic indicators and identifying and classifying defects in accordance with national and international codes and standa</w:t>
      </w:r>
      <w:r w:rsidRPr="00D365B6">
        <w:t>rds on at least two occasions</w:t>
      </w:r>
    </w:p>
    <w:p w:rsidR="00000000" w:rsidRPr="00D365B6" w:rsidP="00D365B6">
      <w:pPr>
        <w:pStyle w:val="ListBullet"/>
      </w:pPr>
      <w:r w:rsidRPr="00D365B6">
        <w:t>undertaking numerical operations and calculations associated with performing eddy current testing</w:t>
      </w:r>
    </w:p>
    <w:p w:rsidR="00000000" w:rsidRPr="00D365B6" w:rsidP="00D365B6">
      <w:pPr>
        <w:pStyle w:val="ListBullet"/>
      </w:pPr>
      <w:r w:rsidRPr="00D365B6">
        <w:t>reporting test results in accordance with procedures and customer service requirements on at least two occasions</w:t>
      </w:r>
    </w:p>
    <w:p w:rsidR="00000000" w:rsidRPr="00192AB6" w:rsidP="00192AB6">
      <w:pPr>
        <w:pStyle w:val="BodyText"/>
        <w:rPr>
          <w:i/>
        </w:rPr>
      </w:pPr>
      <w:r w:rsidRPr="00192AB6">
        <w:rPr>
          <w:rStyle w:val="Emphasis"/>
        </w:rPr>
        <w:t>Note: Where a v</w:t>
      </w:r>
      <w:r w:rsidRPr="00192AB6">
        <w:rPr>
          <w:rStyle w:val="Emphasis"/>
        </w:rPr>
        <w:t>olume and/or frequency is not specified, demonstration must be provided at least once.</w:t>
      </w:r>
    </w:p>
    <w:p w:rsidR="00000000" w:rsidRPr="00D365B6" w:rsidP="00D365B6">
      <w:pPr>
        <w:pStyle w:val="Heading1"/>
      </w:pPr>
      <w:bookmarkStart w:id="3" w:name="O_1085543"/>
      <w:bookmarkEnd w:id="3"/>
      <w:r w:rsidRPr="00D365B6">
        <w:t>Knowledge Evidence</w:t>
      </w:r>
    </w:p>
    <w:p w:rsidR="00000000" w:rsidRPr="00D365B6" w:rsidP="00192AB6">
      <w:pPr>
        <w:pStyle w:val="BodyText"/>
      </w:pPr>
      <w:r w:rsidRPr="00D365B6">
        <w:t>Evidence required to demonstrate the required knowledge for this unit must be relevant to and satisfy the requirements of the eleme</w:t>
      </w:r>
      <w:r w:rsidRPr="00D365B6">
        <w:t>nts and performance criteria and include knowledge of:</w:t>
      </w:r>
    </w:p>
    <w:p w:rsidR="00000000" w:rsidRPr="00D365B6" w:rsidP="00D365B6">
      <w:pPr>
        <w:pStyle w:val="ListBullet"/>
      </w:pPr>
      <w:r w:rsidRPr="00D365B6">
        <w:t>safe work practices and procedures and use of personal protective equipment (PPE)</w:t>
      </w:r>
    </w:p>
    <w:p w:rsidR="00000000" w:rsidRPr="00D365B6" w:rsidP="00D365B6">
      <w:pPr>
        <w:pStyle w:val="ListBullet"/>
      </w:pPr>
      <w:r w:rsidRPr="00D365B6">
        <w:t>cleaning and preparation processes, procedures and work health and safety (WHS) requirements in relation to the prepar</w:t>
      </w:r>
      <w:r w:rsidRPr="00D365B6">
        <w:t>ation process</w:t>
      </w:r>
    </w:p>
    <w:p w:rsidR="00000000" w:rsidRPr="00D365B6" w:rsidP="00D365B6">
      <w:pPr>
        <w:pStyle w:val="ListBullet"/>
      </w:pPr>
      <w:r w:rsidRPr="00D365B6">
        <w:t>established assessment procedures and techniques</w:t>
      </w:r>
    </w:p>
    <w:p w:rsidR="00000000" w:rsidRPr="00D365B6" w:rsidP="00D365B6">
      <w:pPr>
        <w:pStyle w:val="ListBullet"/>
      </w:pPr>
      <w:r w:rsidRPr="00D365B6">
        <w:t>types of discontinuities and their consequences</w:t>
      </w:r>
    </w:p>
    <w:p w:rsidR="00000000" w:rsidRPr="00D365B6" w:rsidP="00D365B6">
      <w:pPr>
        <w:pStyle w:val="ListBullet"/>
      </w:pPr>
      <w:r w:rsidRPr="00D365B6">
        <w:t>procedures, tools, equipment, techniques and system verification checks necessary to carry out eddy current testing</w:t>
      </w:r>
    </w:p>
    <w:p w:rsidR="00000000" w:rsidRPr="00D365B6" w:rsidP="00D365B6">
      <w:pPr>
        <w:pStyle w:val="ListBullet"/>
      </w:pPr>
      <w:r w:rsidRPr="00D365B6">
        <w:t>basic principles of electrici</w:t>
      </w:r>
      <w:r w:rsidRPr="00D365B6">
        <w:t>ty, magnetism, electromagnetism and eddy current testing:</w:t>
      </w:r>
    </w:p>
    <w:p w:rsidR="00000000" w:rsidRPr="00D365B6" w:rsidP="00D365B6">
      <w:pPr>
        <w:pStyle w:val="ListBullet2"/>
      </w:pPr>
      <w:r w:rsidRPr="00D365B6">
        <w:t>reactance – field made by eddy current</w:t>
      </w:r>
    </w:p>
    <w:p w:rsidR="00000000" w:rsidRPr="00D365B6" w:rsidP="00D365B6">
      <w:pPr>
        <w:pStyle w:val="ListBullet2"/>
      </w:pPr>
      <w:r w:rsidRPr="00D365B6">
        <w:t>Biot-Savant law – definition, practical (right hand) rules</w:t>
      </w:r>
    </w:p>
    <w:p w:rsidR="00000000" w:rsidRPr="00D365B6" w:rsidP="00D365B6">
      <w:pPr>
        <w:pStyle w:val="ListBullet2"/>
      </w:pPr>
      <w:r w:rsidRPr="00D365B6">
        <w:t>Amperes law – definition, applications (toroid, infinite coil, flat coil)</w:t>
      </w:r>
    </w:p>
    <w:p w:rsidR="00000000" w:rsidRPr="00D365B6" w:rsidP="00D365B6">
      <w:pPr>
        <w:pStyle w:val="ListBullet2"/>
      </w:pPr>
      <w:r w:rsidRPr="00D365B6">
        <w:t>Lenz law –</w:t>
      </w:r>
      <w:r w:rsidRPr="00D365B6">
        <w:t xml:space="preserve"> definition, auto-induction factor, mutual induction factor, coupling factor</w:t>
      </w:r>
    </w:p>
    <w:p w:rsidR="00000000" w:rsidRPr="00D365B6" w:rsidP="00D365B6">
      <w:pPr>
        <w:pStyle w:val="ListBullet"/>
      </w:pPr>
      <w:r w:rsidRPr="00D365B6">
        <w:t>induced currents – short circuit coil, metallic mass, skin effect and reactance</w:t>
      </w:r>
    </w:p>
    <w:p w:rsidR="00000000" w:rsidRPr="00D365B6" w:rsidP="00D365B6">
      <w:pPr>
        <w:pStyle w:val="ListBullet"/>
      </w:pPr>
      <w:r w:rsidRPr="00D365B6">
        <w:t>cylindrical bars</w:t>
      </w:r>
    </w:p>
    <w:p w:rsidR="00000000" w:rsidRPr="00D365B6" w:rsidP="00D365B6">
      <w:pPr>
        <w:pStyle w:val="ListBullet"/>
      </w:pPr>
      <w:r w:rsidRPr="00D365B6">
        <w:t>theory of eddy currents</w:t>
      </w:r>
    </w:p>
    <w:p w:rsidR="00000000" w:rsidRPr="00D365B6" w:rsidP="00D365B6">
      <w:pPr>
        <w:pStyle w:val="ListBullet"/>
      </w:pPr>
      <w:r w:rsidRPr="00D365B6">
        <w:t>tubes</w:t>
      </w:r>
    </w:p>
    <w:p w:rsidR="00000000" w:rsidRPr="00D365B6" w:rsidP="00D365B6">
      <w:pPr>
        <w:pStyle w:val="ListBullet"/>
      </w:pPr>
      <w:r w:rsidRPr="00D365B6">
        <w:t>geometric defect characterisation</w:t>
      </w:r>
    </w:p>
    <w:p w:rsidR="00000000" w:rsidRPr="00D365B6" w:rsidP="00D365B6">
      <w:pPr>
        <w:pStyle w:val="ListBullet"/>
      </w:pPr>
      <w:r w:rsidRPr="00D365B6">
        <w:t xml:space="preserve">multiple defects </w:t>
      </w:r>
      <w:r w:rsidRPr="00D365B6">
        <w:t>and defect position and orientation</w:t>
      </w:r>
    </w:p>
    <w:p w:rsidR="00000000" w:rsidRPr="00D365B6" w:rsidP="00D365B6">
      <w:pPr>
        <w:pStyle w:val="ListBullet"/>
      </w:pPr>
      <w:r w:rsidRPr="00D365B6">
        <w:t>characteristics of eddy current probes</w:t>
      </w:r>
    </w:p>
    <w:p w:rsidR="00000000" w:rsidRPr="00D365B6" w:rsidP="00D365B6">
      <w:pPr>
        <w:pStyle w:val="ListBullet"/>
      </w:pPr>
      <w:r w:rsidRPr="00D365B6">
        <w:t>eddy current equipment including transmission, reception and data presentation</w:t>
      </w:r>
    </w:p>
    <w:p w:rsidR="00000000" w:rsidRPr="00D365B6" w:rsidP="00D365B6">
      <w:pPr>
        <w:pStyle w:val="ListBullet"/>
      </w:pPr>
      <w:r w:rsidRPr="00D365B6">
        <w:t>types of equipment and their controls</w:t>
      </w:r>
    </w:p>
    <w:p w:rsidR="00000000" w:rsidRPr="00D365B6" w:rsidP="00D365B6">
      <w:pPr>
        <w:pStyle w:val="ListBullet"/>
      </w:pPr>
      <w:r w:rsidRPr="00D365B6">
        <w:t>physical properties of materials</w:t>
      </w:r>
    </w:p>
    <w:p w:rsidR="00000000" w:rsidRPr="00D365B6" w:rsidP="00D365B6">
      <w:pPr>
        <w:pStyle w:val="ListBullet"/>
      </w:pPr>
      <w:r w:rsidRPr="00D365B6">
        <w:t>electrical conductivity and mag</w:t>
      </w:r>
      <w:r w:rsidRPr="00D365B6">
        <w:t>netic permeability</w:t>
      </w:r>
    </w:p>
    <w:p w:rsidR="00000000" w:rsidRPr="00D365B6" w:rsidP="00D365B6">
      <w:pPr>
        <w:pStyle w:val="ListBullet"/>
      </w:pPr>
      <w:r w:rsidRPr="00D365B6">
        <w:t>applications of eddy current testing</w:t>
      </w:r>
    </w:p>
    <w:p w:rsidR="00000000" w:rsidRPr="00D365B6" w:rsidP="00D365B6">
      <w:pPr>
        <w:pStyle w:val="ListBullet"/>
      </w:pPr>
      <w:r w:rsidRPr="00D365B6">
        <w:t>influence of various parameters on eddy current measurement</w:t>
      </w:r>
    </w:p>
    <w:p w:rsidR="00000000" w:rsidRPr="00D365B6" w:rsidP="00D365B6">
      <w:pPr>
        <w:pStyle w:val="ListBullet"/>
      </w:pPr>
      <w:r w:rsidRPr="00D365B6">
        <w:t>compensation</w:t>
      </w:r>
    </w:p>
    <w:p w:rsidR="00000000" w:rsidRPr="00D365B6" w:rsidP="00D365B6">
      <w:pPr>
        <w:pStyle w:val="ListBullet"/>
      </w:pPr>
      <w:r w:rsidRPr="00D365B6">
        <w:t>structure and geometry of test part</w:t>
      </w:r>
    </w:p>
    <w:p w:rsidR="00000000" w:rsidRPr="00D365B6" w:rsidP="00D365B6">
      <w:pPr>
        <w:pStyle w:val="ListBullet"/>
      </w:pPr>
      <w:r w:rsidRPr="00D365B6">
        <w:t>coupling influence and relative speed</w:t>
      </w:r>
    </w:p>
    <w:p w:rsidR="00000000" w:rsidRPr="00D365B6" w:rsidP="00D365B6">
      <w:pPr>
        <w:pStyle w:val="ListBullet"/>
      </w:pPr>
      <w:r w:rsidRPr="00D365B6">
        <w:t>limitations of eddy current testing</w:t>
      </w:r>
    </w:p>
    <w:p w:rsidR="00000000" w:rsidRPr="00D365B6" w:rsidP="00D365B6">
      <w:pPr>
        <w:pStyle w:val="ListBullet"/>
      </w:pPr>
      <w:r w:rsidRPr="00D365B6">
        <w:t>basic maintenance and storage procedures for testing equipment</w:t>
      </w:r>
    </w:p>
    <w:p w:rsidR="00000000" w:rsidRPr="00D365B6" w:rsidP="00D365B6">
      <w:pPr>
        <w:pStyle w:val="ListBullet"/>
      </w:pPr>
      <w:r w:rsidRPr="00D365B6">
        <w:t>methods and/or procedures for reporting test results</w:t>
      </w:r>
    </w:p>
    <w:p w:rsidR="00000000" w:rsidRPr="00D365B6" w:rsidP="00D365B6">
      <w:pPr>
        <w:pStyle w:val="ListBullet"/>
      </w:pPr>
      <w:r w:rsidRPr="00D365B6">
        <w:t>the following defects:</w:t>
      </w:r>
    </w:p>
    <w:p w:rsidR="00000000" w:rsidRPr="00D365B6" w:rsidP="00D365B6">
      <w:pPr>
        <w:pStyle w:val="ListBullet2"/>
      </w:pPr>
      <w:r w:rsidRPr="00D365B6">
        <w:t>corrosion</w:t>
      </w:r>
    </w:p>
    <w:p w:rsidR="00000000" w:rsidRPr="00D365B6" w:rsidP="00D365B6">
      <w:pPr>
        <w:pStyle w:val="ListBullet2"/>
      </w:pPr>
      <w:r w:rsidRPr="00D365B6">
        <w:t>metal fatigue</w:t>
      </w:r>
    </w:p>
    <w:p w:rsidR="00000000" w:rsidRPr="00D365B6" w:rsidP="00D365B6">
      <w:pPr>
        <w:pStyle w:val="ListBullet2"/>
      </w:pPr>
      <w:r w:rsidRPr="00D365B6">
        <w:t>deformation in nonferrous/ferrous alloys steels</w:t>
      </w:r>
    </w:p>
    <w:p w:rsidR="00000000" w:rsidRPr="00D365B6" w:rsidP="00D365B6">
      <w:pPr>
        <w:pStyle w:val="ListBullet2"/>
      </w:pPr>
      <w:r w:rsidRPr="00D365B6">
        <w:t>fatigue cracks</w:t>
      </w:r>
    </w:p>
    <w:p w:rsidR="00000000" w:rsidRPr="00D365B6" w:rsidP="00D365B6">
      <w:pPr>
        <w:pStyle w:val="ListBullet2"/>
      </w:pPr>
      <w:r w:rsidRPr="00D365B6">
        <w:t>stress corrosion cracking</w:t>
      </w:r>
    </w:p>
    <w:p w:rsidR="00000000" w:rsidRPr="00D365B6" w:rsidP="00D365B6">
      <w:pPr>
        <w:pStyle w:val="ListBullet2"/>
      </w:pPr>
      <w:r w:rsidRPr="00D365B6">
        <w:t>hea</w:t>
      </w:r>
      <w:r w:rsidRPr="00D365B6">
        <w:t>t damage</w:t>
      </w:r>
    </w:p>
    <w:p w:rsidR="00000000" w:rsidRPr="00D365B6" w:rsidP="00D365B6">
      <w:pPr>
        <w:pStyle w:val="ListBullet2"/>
      </w:pPr>
      <w:r w:rsidRPr="00D365B6">
        <w:t>metal properties sorting</w:t>
      </w:r>
    </w:p>
    <w:p w:rsidR="00000000" w:rsidRPr="00D365B6" w:rsidP="00D365B6">
      <w:pPr>
        <w:pStyle w:val="ListBullet2"/>
      </w:pPr>
      <w:r w:rsidRPr="00D365B6">
        <w:t xml:space="preserve">manufacturing defects </w:t>
      </w:r>
    </w:p>
    <w:p w:rsidR="00000000" w:rsidRPr="00D365B6" w:rsidP="00D365B6">
      <w:pPr>
        <w:pStyle w:val="ListBullet2"/>
      </w:pPr>
      <w:r w:rsidRPr="00D365B6">
        <w:t>coating thickness measurement.</w:t>
      </w:r>
    </w:p>
    <w:p w:rsidR="00000000" w:rsidRPr="00D365B6" w:rsidP="00D365B6">
      <w:pPr>
        <w:pStyle w:val="AllowPageBreak"/>
      </w:pPr>
    </w:p>
    <w:p w:rsidR="00000000" w:rsidRPr="00D365B6" w:rsidP="00D365B6">
      <w:pPr>
        <w:pStyle w:val="Heading1"/>
      </w:pPr>
      <w:bookmarkStart w:id="4" w:name="O_1085544"/>
      <w:bookmarkEnd w:id="4"/>
      <w:r w:rsidRPr="00D365B6">
        <w:t>Assessment Conditions</w:t>
      </w:r>
    </w:p>
    <w:p w:rsidR="00000000" w:rsidRPr="00D365B6" w:rsidP="00D365B6">
      <w:pPr>
        <w:pStyle w:val="ListBullet"/>
      </w:pPr>
      <w:r w:rsidRPr="00D365B6">
        <w:t>Assessors must:</w:t>
      </w:r>
    </w:p>
    <w:p w:rsidR="00000000" w:rsidRPr="00D365B6" w:rsidP="00D365B6">
      <w:pPr>
        <w:pStyle w:val="ListBullet2"/>
      </w:pPr>
      <w:r w:rsidRPr="00D365B6">
        <w:t xml:space="preserve">have vocational competency in performing eddy current testing at least to the level being assessed </w:t>
      </w:r>
      <w:r w:rsidRPr="00D365B6">
        <w:t>with relevant industry knowledge and experience</w:t>
      </w:r>
    </w:p>
    <w:p w:rsidR="00000000" w:rsidRPr="00D365B6" w:rsidP="00D365B6">
      <w:pPr>
        <w:pStyle w:val="ListBullet2"/>
      </w:pPr>
      <w:r w:rsidRPr="00D365B6">
        <w:t xml:space="preserve">satisfy the assessor requirements in the </w:t>
      </w:r>
      <w:r w:rsidRPr="00D365B6">
        <w:rPr>
          <w:rStyle w:val="Emphasis"/>
        </w:rPr>
        <w:t xml:space="preserve">Standards for Registered Training Organisations 2015 or its replacement </w:t>
      </w:r>
      <w:r w:rsidRPr="00D365B6">
        <w:t xml:space="preserve">and comply with the </w:t>
      </w:r>
      <w:r w:rsidRPr="00D365B6">
        <w:rPr>
          <w:rStyle w:val="Emphasis"/>
        </w:rPr>
        <w:t xml:space="preserve">National Vocational Education and Training Regulator Act 2011, </w:t>
      </w:r>
      <w:r w:rsidRPr="00D365B6">
        <w:t>its replacem</w:t>
      </w:r>
      <w:r w:rsidRPr="00D365B6">
        <w:t>ent</w:t>
      </w:r>
      <w:r w:rsidRPr="00D365B6">
        <w:rPr>
          <w:rStyle w:val="Emphasis"/>
        </w:rPr>
        <w:t xml:space="preserve"> </w:t>
      </w:r>
      <w:r w:rsidRPr="00D365B6">
        <w:t>or equivalent legislation covering VET regulation in a non-referring state/territory as the case requires.</w:t>
      </w:r>
    </w:p>
    <w:p w:rsidR="00000000" w:rsidRPr="00D365B6" w:rsidP="00D365B6">
      <w:pPr>
        <w:pStyle w:val="ListBullet"/>
      </w:pPr>
      <w:r w:rsidRPr="00D365B6">
        <w:t xml:space="preserve">Where possible, assessment must occur in operational workplace situations. Where this is not possible or where personal safety or environmental </w:t>
      </w:r>
      <w:r w:rsidRPr="00D365B6">
        <w:t>damage are limiting factors, assessment must occur in a sufficiently rigorous simulated environment that reflects realistic operational workplace conditions that cover all aspects of workplace performance, including environment, task skills, task managemen</w:t>
      </w:r>
      <w:r w:rsidRPr="00D365B6">
        <w:t>t skills, contingency management skills and job role environment skills.</w:t>
      </w:r>
    </w:p>
    <w:p w:rsidR="00000000" w:rsidRPr="00D365B6" w:rsidP="00D365B6">
      <w:pPr>
        <w:pStyle w:val="ListBullet"/>
      </w:pPr>
      <w:r w:rsidRPr="00D365B6">
        <w:t>Conditions for assessment must include access to all tools, equipment, materials and documentation required including relevant workplace procedures, product and manufacturing specific</w:t>
      </w:r>
      <w:r w:rsidRPr="00D365B6">
        <w:t>ations.</w:t>
      </w:r>
    </w:p>
    <w:p w:rsidR="00000000" w:rsidRPr="00D365B6" w:rsidP="00D365B6">
      <w:pPr>
        <w:pStyle w:val="ListBullet"/>
      </w:pPr>
      <w:r w:rsidRPr="00D365B6">
        <w:t>Assessment processes and techniques must be appropriate to the language, literacy and numeracy requirements of the work being performed and the needs of the candidate.</w:t>
      </w:r>
    </w:p>
    <w:p w:rsidR="00000000" w:rsidRPr="00D365B6" w:rsidP="00D365B6">
      <w:pPr>
        <w:pStyle w:val="AllowPageBreak"/>
      </w:pPr>
    </w:p>
    <w:p w:rsidR="00000000" w:rsidRPr="00D365B6" w:rsidP="00D365B6">
      <w:pPr>
        <w:pStyle w:val="Heading1"/>
      </w:pPr>
      <w:bookmarkStart w:id="5" w:name="O_1085547"/>
      <w:bookmarkEnd w:id="5"/>
      <w:r w:rsidRPr="00D365B6">
        <w:t>Links</w:t>
      </w:r>
    </w:p>
    <w:p w:rsidR="00000000" w:rsidRPr="00D365B6" w:rsidP="00192AB6">
      <w:pPr>
        <w:pStyle w:val="BodyText"/>
      </w:pPr>
      <w:r w:rsidRPr="00D365B6">
        <w:t>Companion Volume implementation guides are found in VET</w:t>
      </w:r>
      <w:r w:rsidRPr="00D365B6">
        <w:t xml:space="preserve">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535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365B6" w:rsidP="00D365B6"/>
    <w:sectPr w:rsidSect="00D36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B6" w:rsidRPr="00192AB6" w:rsidP="00192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6" w:rsidP="00D36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AB6" w:rsidP="00D36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2AB6" w:rsidP="00D36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5B6" w:rsidRPr="00192AB6" w:rsidP="00192A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6" w:rsidRPr="002D2AF8" w:rsidP="00D36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MEM24006 Perform eddy current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92AB6" w:rsidP="00D36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CA7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EAD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A2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5B6"/>
  </w:style>
  <w:style w:type="character" w:customStyle="1" w:styleId="Heading1Char">
    <w:name w:val="Heading 1 Char"/>
    <w:basedOn w:val="DefaultParagraphFont"/>
    <w:link w:val="Heading1"/>
    <w:rsid w:val="00D36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5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65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65B6"/>
    <w:rPr>
      <w:i/>
    </w:rPr>
  </w:style>
  <w:style w:type="paragraph" w:customStyle="1" w:styleId="SuperHeading">
    <w:name w:val="SuperHeading"/>
    <w:basedOn w:val="Normal"/>
    <w:rsid w:val="00D36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65B6"/>
    <w:rPr>
      <w:b/>
      <w:spacing w:val="0"/>
    </w:rPr>
  </w:style>
  <w:style w:type="paragraph" w:customStyle="1" w:styleId="SuperTitle">
    <w:name w:val="SuperTitle"/>
    <w:basedOn w:val="Title"/>
    <w:rsid w:val="00D36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6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5B6"/>
  </w:style>
  <w:style w:type="paragraph" w:styleId="TableofFigures">
    <w:name w:val="table of figures"/>
    <w:basedOn w:val="Normal"/>
    <w:next w:val="Normal"/>
    <w:semiHidden/>
    <w:rsid w:val="00D36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5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5B6"/>
    <w:rPr>
      <w:rFonts w:ascii="Wingdings" w:hAnsi="Wingdings"/>
    </w:rPr>
  </w:style>
  <w:style w:type="paragraph" w:customStyle="1" w:styleId="TableHeading">
    <w:name w:val="Table Heading"/>
    <w:basedOn w:val="HeadingBase"/>
    <w:rsid w:val="00D36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5B6"/>
    <w:rPr>
      <w:color w:val="0033CC"/>
      <w:u w:val="none"/>
    </w:rPr>
  </w:style>
  <w:style w:type="paragraph" w:customStyle="1" w:styleId="BodyTextRight">
    <w:name w:val="Body Text Right"/>
    <w:basedOn w:val="BodyText"/>
    <w:rsid w:val="00D36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5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5B6"/>
    <w:rPr>
      <w:sz w:val="32"/>
    </w:rPr>
  </w:style>
  <w:style w:type="paragraph" w:customStyle="1" w:styleId="HeadingProcedure">
    <w:name w:val="Heading Procedure"/>
    <w:basedOn w:val="HeadingBase"/>
    <w:next w:val="Normal"/>
    <w:rsid w:val="00D36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5B6"/>
    <w:pPr>
      <w:spacing w:before="60" w:after="60"/>
    </w:pPr>
  </w:style>
  <w:style w:type="paragraph" w:styleId="ListContinue">
    <w:name w:val="List Continue"/>
    <w:basedOn w:val="List"/>
    <w:rsid w:val="00D365B6"/>
    <w:pPr>
      <w:ind w:firstLine="0"/>
    </w:pPr>
  </w:style>
  <w:style w:type="paragraph" w:customStyle="1" w:styleId="ListNote">
    <w:name w:val="List Note"/>
    <w:basedOn w:val="List"/>
    <w:rsid w:val="00D36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5B6"/>
    <w:rPr>
      <w:rFonts w:ascii="Courier New" w:hAnsi="Courier New"/>
    </w:rPr>
  </w:style>
  <w:style w:type="paragraph" w:customStyle="1" w:styleId="NoteBullet">
    <w:name w:val="Note Bullet"/>
    <w:basedOn w:val="Note"/>
    <w:rsid w:val="00D36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5B6"/>
    <w:rPr>
      <w:b/>
      <w:smallCaps/>
    </w:rPr>
  </w:style>
  <w:style w:type="paragraph" w:customStyle="1" w:styleId="TableListNumber">
    <w:name w:val="Table List Number"/>
    <w:basedOn w:val="ListNumber"/>
    <w:rsid w:val="00D36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5B6"/>
    <w:pPr>
      <w:numPr>
        <w:numId w:val="9"/>
      </w:numPr>
    </w:pPr>
  </w:style>
  <w:style w:type="paragraph" w:customStyle="1" w:styleId="ListAlpha2">
    <w:name w:val="List Alpha 2"/>
    <w:basedOn w:val="List2"/>
    <w:rsid w:val="00D365B6"/>
    <w:pPr>
      <w:numPr>
        <w:numId w:val="8"/>
      </w:numPr>
    </w:pPr>
  </w:style>
  <w:style w:type="paragraph" w:styleId="List2">
    <w:name w:val="List 2"/>
    <w:basedOn w:val="BodyText"/>
    <w:rsid w:val="00D36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5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5B6"/>
    <w:pPr>
      <w:numPr>
        <w:numId w:val="4"/>
      </w:numPr>
    </w:pPr>
  </w:style>
  <w:style w:type="paragraph" w:styleId="ListContinue2">
    <w:name w:val="List Continue 2"/>
    <w:basedOn w:val="List2"/>
    <w:rsid w:val="00D365B6"/>
    <w:pPr>
      <w:ind w:firstLine="0"/>
    </w:pPr>
  </w:style>
  <w:style w:type="paragraph" w:styleId="ListContinue3">
    <w:name w:val="List Continue 3"/>
    <w:basedOn w:val="List3"/>
    <w:rsid w:val="00D365B6"/>
    <w:pPr>
      <w:ind w:left="1021" w:firstLine="0"/>
    </w:pPr>
  </w:style>
  <w:style w:type="paragraph" w:styleId="ListContinue4">
    <w:name w:val="List Continue 4"/>
    <w:basedOn w:val="List4"/>
    <w:rsid w:val="00D365B6"/>
    <w:pPr>
      <w:ind w:firstLine="0"/>
    </w:pPr>
  </w:style>
  <w:style w:type="paragraph" w:styleId="ListContinue5">
    <w:name w:val="List Continue 5"/>
    <w:basedOn w:val="List5"/>
    <w:rsid w:val="00D365B6"/>
    <w:pPr>
      <w:ind w:firstLine="0"/>
    </w:pPr>
  </w:style>
  <w:style w:type="paragraph" w:styleId="ListNumber3">
    <w:name w:val="List Number 3"/>
    <w:basedOn w:val="List3"/>
    <w:rsid w:val="00D365B6"/>
    <w:pPr>
      <w:numPr>
        <w:numId w:val="5"/>
      </w:numPr>
    </w:pPr>
  </w:style>
  <w:style w:type="paragraph" w:styleId="ListNumber4">
    <w:name w:val="List Number 4"/>
    <w:basedOn w:val="List4"/>
    <w:rsid w:val="00D365B6"/>
    <w:pPr>
      <w:numPr>
        <w:numId w:val="6"/>
      </w:numPr>
    </w:pPr>
  </w:style>
  <w:style w:type="paragraph" w:styleId="ListNumber5">
    <w:name w:val="List Number 5"/>
    <w:basedOn w:val="List5"/>
    <w:rsid w:val="00D365B6"/>
    <w:pPr>
      <w:numPr>
        <w:numId w:val="7"/>
      </w:numPr>
    </w:pPr>
  </w:style>
  <w:style w:type="paragraph" w:styleId="BlockText">
    <w:name w:val="Block Text"/>
    <w:basedOn w:val="Normal"/>
    <w:rsid w:val="00D36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5B6"/>
    <w:rPr>
      <w:sz w:val="16"/>
      <w:vertAlign w:val="superscript"/>
    </w:rPr>
  </w:style>
  <w:style w:type="character" w:customStyle="1" w:styleId="Symbols">
    <w:name w:val="Symbols"/>
    <w:basedOn w:val="DefaultParagraphFont"/>
    <w:rsid w:val="00D365B6"/>
    <w:rPr>
      <w:rFonts w:ascii="Symbol" w:hAnsi="Symbol"/>
    </w:rPr>
  </w:style>
  <w:style w:type="character" w:customStyle="1" w:styleId="MenuOptions">
    <w:name w:val="Menu Options"/>
    <w:basedOn w:val="DefaultParagraphFont"/>
    <w:rsid w:val="00D36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5B6"/>
    <w:rPr>
      <w:b/>
    </w:rPr>
  </w:style>
  <w:style w:type="character" w:customStyle="1" w:styleId="Underlined">
    <w:name w:val="Underlined"/>
    <w:basedOn w:val="DefaultParagraphFont"/>
    <w:rsid w:val="00D365B6"/>
    <w:rPr>
      <w:u w:val="single"/>
    </w:rPr>
  </w:style>
  <w:style w:type="paragraph" w:customStyle="1" w:styleId="TableBodyTextRight">
    <w:name w:val="Table Body Text Right"/>
    <w:basedOn w:val="TableBodyText"/>
    <w:rsid w:val="00D36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5B6"/>
    <w:rPr>
      <w:sz w:val="18"/>
    </w:rPr>
  </w:style>
  <w:style w:type="paragraph" w:customStyle="1" w:styleId="BodySmallRight">
    <w:name w:val="Body Small Right"/>
    <w:basedOn w:val="BodyTextRight"/>
    <w:rsid w:val="00D365B6"/>
    <w:rPr>
      <w:sz w:val="18"/>
      <w:szCs w:val="18"/>
    </w:rPr>
  </w:style>
  <w:style w:type="paragraph" w:customStyle="1" w:styleId="MarginEdition">
    <w:name w:val="Margin Edition"/>
    <w:basedOn w:val="MarginNote"/>
    <w:rsid w:val="00D36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5B6"/>
    <w:rPr>
      <w:sz w:val="2"/>
      <w:szCs w:val="2"/>
    </w:rPr>
  </w:style>
  <w:style w:type="character" w:customStyle="1" w:styleId="Small">
    <w:name w:val="Small"/>
    <w:basedOn w:val="DefaultParagraphFont"/>
    <w:rsid w:val="00D365B6"/>
    <w:rPr>
      <w:sz w:val="16"/>
    </w:rPr>
  </w:style>
  <w:style w:type="paragraph" w:customStyle="1" w:styleId="WideTable">
    <w:name w:val="Wide Table"/>
    <w:basedOn w:val="Normal"/>
    <w:rsid w:val="00D36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5B6"/>
  </w:style>
  <w:style w:type="paragraph" w:styleId="Quote">
    <w:name w:val="Quote"/>
    <w:basedOn w:val="Heading1"/>
    <w:link w:val="QuoteChar"/>
    <w:qFormat/>
    <w:rsid w:val="00D36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5B6"/>
    <w:pPr>
      <w:pageBreakBefore/>
    </w:pPr>
  </w:style>
  <w:style w:type="paragraph" w:customStyle="1" w:styleId="Border">
    <w:name w:val="Border"/>
    <w:basedOn w:val="Normal"/>
    <w:qFormat/>
    <w:rsid w:val="00D36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5B6"/>
    <w:rPr>
      <w:u w:val="single"/>
    </w:rPr>
  </w:style>
  <w:style w:type="character" w:customStyle="1" w:styleId="BoldandItalics">
    <w:name w:val="Bold and Italics"/>
    <w:qFormat/>
    <w:rsid w:val="00D365B6"/>
    <w:rPr>
      <w:b/>
      <w:i/>
      <w:u w:val="none"/>
    </w:rPr>
  </w:style>
  <w:style w:type="paragraph" w:styleId="BalloonText">
    <w:name w:val="Balloon Text"/>
    <w:basedOn w:val="Normal"/>
    <w:link w:val="BalloonTextChar"/>
    <w:rsid w:val="00D36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5B6"/>
    <w:pPr>
      <w:spacing w:before="0" w:after="0"/>
    </w:pPr>
  </w:style>
  <w:style w:type="paragraph" w:customStyle="1" w:styleId="BodyTextBold">
    <w:name w:val="Body Text Bold"/>
    <w:basedOn w:val="BodyText"/>
    <w:qFormat/>
    <w:rsid w:val="00D365B6"/>
    <w:rPr>
      <w:b/>
    </w:rPr>
  </w:style>
  <w:style w:type="character" w:styleId="Hyperlink">
    <w:name w:val="Hyperlink"/>
    <w:basedOn w:val="DefaultParagraphFont"/>
    <w:uiPriority w:val="99"/>
    <w:unhideWhenUsed/>
    <w:rsid w:val="00192A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4391</Characters>
  <Application>Microsoft Office Word</Application>
  <DocSecurity>0</DocSecurity>
  <Lines>99</Lines>
  <Paragraphs>75</Paragraphs>
  <ScaleCrop>false</ScaleCrop>
  <Company>Author-it Software Corporation Ltd.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MEM24006 Perform eddy current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