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203" w:rsidP="000F6203">
      <w:pPr>
        <w:pStyle w:val="Title"/>
      </w:pPr>
      <w:r>
        <w:fldChar w:fldCharType="begin"/>
      </w:r>
      <w:r>
        <w:instrText xml:space="preserve"> TITLE   \* MERGEFORMAT </w:instrText>
      </w:r>
      <w:r>
        <w:fldChar w:fldCharType="separate"/>
      </w:r>
      <w:r>
        <w:t>MEM234035 Maintain and apply technical and engineering skills</w:t>
      </w:r>
      <w:r>
        <w:fldChar w:fldCharType="end"/>
      </w:r>
    </w:p>
    <w:p w:rsidR="000F6203" w:rsidP="000F6203">
      <w:pPr>
        <w:pStyle w:val="Version"/>
        <w:sectPr w:rsidSect="008346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6CE" w:rsidP="008346CE">
      <w:pPr>
        <w:pStyle w:val="SuperHeading"/>
      </w:pPr>
      <w:r w:rsidRPr="008346CE">
        <w:t>MEM234035 Maintain and apply technical and engineering skills</w:t>
      </w:r>
    </w:p>
    <w:p w:rsidR="00000000" w:rsidRPr="008346CE" w:rsidP="008346CE">
      <w:pPr>
        <w:pStyle w:val="Heading1"/>
      </w:pPr>
      <w:bookmarkStart w:id="1" w:name="O_945411"/>
      <w:bookmarkEnd w:id="1"/>
      <w:r w:rsidRPr="008346CE">
        <w:t>Modification History</w:t>
      </w:r>
    </w:p>
    <w:p w:rsidR="00000000" w:rsidRPr="008346CE" w:rsidP="000F6203">
      <w:pPr>
        <w:pStyle w:val="BodyText"/>
      </w:pPr>
      <w:r w:rsidRPr="008346CE">
        <w:t xml:space="preserve">Release 1. Supersedes and is equivalent to MEM234035A Maintain and apply technical and engineering skills. </w:t>
      </w:r>
    </w:p>
    <w:p w:rsidR="00000000" w:rsidRPr="008346CE" w:rsidP="008346CE">
      <w:pPr>
        <w:pStyle w:val="Heading1"/>
      </w:pPr>
      <w:bookmarkStart w:id="2" w:name="O_945419"/>
      <w:bookmarkEnd w:id="2"/>
      <w:r w:rsidRPr="008346CE">
        <w:t>Application</w:t>
      </w:r>
    </w:p>
    <w:p w:rsidR="00000000" w:rsidRPr="008346CE" w:rsidP="000F6203">
      <w:pPr>
        <w:pStyle w:val="BodyText"/>
      </w:pPr>
      <w:r w:rsidRPr="008346CE">
        <w:t>This unit of competency defines the skills and kno</w:t>
      </w:r>
      <w:r w:rsidRPr="008346CE">
        <w:t>wledge required by a Principal Technical Officer, or someone in an equivalent position, to plan and manage their own technical role and individual development in their field of engineering for the benefit of themselves and their organisation. It covers the</w:t>
      </w:r>
      <w:r w:rsidRPr="008346CE">
        <w:t xml:space="preserve"> high-level technical, analytical, communication and system thinking skills to ensure effective performance in complex technical and engineering environments across all forms of manufacturing and engineering.</w:t>
      </w:r>
    </w:p>
    <w:p w:rsidR="00000000" w:rsidRPr="008346CE" w:rsidP="000F6203">
      <w:pPr>
        <w:pStyle w:val="BodyText"/>
      </w:pPr>
      <w:r w:rsidRPr="008346CE">
        <w:t>The unit covers the skills required for an indi</w:t>
      </w:r>
      <w:r w:rsidRPr="008346CE">
        <w:t>vidual to manage their engineering role and provides the core underpinning skills for an individual to appropriately apply technical skills gained from other units of competency in the MEM80122 Graduate Diploma of Engineering. This unit applies to an indiv</w:t>
      </w:r>
      <w:r w:rsidRPr="008346CE">
        <w:t>idual performing high level engineering-related work whether in a project management, supervisory or technical specialist role.</w:t>
      </w:r>
    </w:p>
    <w:p w:rsidR="00000000" w:rsidRPr="008346CE" w:rsidP="000F6203">
      <w:pPr>
        <w:pStyle w:val="BodyText"/>
      </w:pPr>
      <w:r w:rsidRPr="008346CE">
        <w:t>No licensing, legislative or certification requirements apply to this unit at the time of publication.</w:t>
      </w:r>
    </w:p>
    <w:p w:rsidR="00000000" w:rsidRPr="008346CE" w:rsidP="008346CE">
      <w:pPr>
        <w:pStyle w:val="Heading1"/>
      </w:pPr>
      <w:bookmarkStart w:id="3" w:name="O_945418"/>
      <w:bookmarkEnd w:id="3"/>
      <w:r w:rsidRPr="008346CE">
        <w:t>Pre-requ</w:t>
      </w:r>
      <w:r w:rsidRPr="008346CE">
        <w:t>isite Unit</w:t>
      </w:r>
    </w:p>
    <w:p w:rsidR="00000000" w:rsidRPr="008346CE" w:rsidP="000F6203">
      <w:pPr>
        <w:pStyle w:val="BodyText"/>
      </w:pPr>
      <w:r w:rsidRPr="008346CE">
        <w:t>Nil</w:t>
      </w:r>
    </w:p>
    <w:p w:rsidR="00000000" w:rsidRPr="008346CE" w:rsidP="008346CE">
      <w:pPr>
        <w:pStyle w:val="Heading1"/>
      </w:pPr>
      <w:bookmarkStart w:id="4" w:name="O_945417"/>
      <w:bookmarkEnd w:id="4"/>
      <w:r w:rsidRPr="008346CE">
        <w:t>Competency Field</w:t>
      </w:r>
    </w:p>
    <w:p w:rsidR="00000000" w:rsidRPr="008346CE" w:rsidP="000F6203">
      <w:pPr>
        <w:pStyle w:val="BodyText"/>
      </w:pPr>
      <w:r w:rsidRPr="008346CE">
        <w:t>Engineering science</w:t>
      </w:r>
    </w:p>
    <w:p w:rsidR="00000000" w:rsidRPr="008346CE" w:rsidP="008346CE">
      <w:pPr>
        <w:pStyle w:val="Heading1"/>
      </w:pPr>
      <w:bookmarkStart w:id="5" w:name="O_945415"/>
      <w:bookmarkEnd w:id="5"/>
      <w:r w:rsidRPr="008346CE">
        <w:t>Elements and Performance Criteria</w:t>
      </w:r>
    </w:p>
    <w:tbl>
      <w:tblPr>
        <w:tblW w:w="9639" w:type="dxa"/>
        <w:tblLayout w:type="fixed"/>
        <w:tblCellMar>
          <w:left w:w="62" w:type="dxa"/>
          <w:right w:w="62" w:type="dxa"/>
        </w:tblCellMar>
        <w:tblLook w:val="0000"/>
      </w:tblPr>
      <w:tblGrid>
        <w:gridCol w:w="2531"/>
        <w:gridCol w:w="7108"/>
      </w:tblGrid>
      <w:tr w:rsidTr="000F620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346CE" w:rsidP="008346CE">
            <w:pPr>
              <w:pStyle w:val="BodyText"/>
            </w:pPr>
            <w:r w:rsidRPr="008346C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46CE">
            <w:pPr>
              <w:pStyle w:val="BodyText"/>
              <w:rPr>
                <w:lang w:val="en-NZ"/>
              </w:rPr>
            </w:pPr>
            <w:r w:rsidRPr="008346CE">
              <w:rPr>
                <w:rStyle w:val="SpecialBold"/>
              </w:rPr>
              <w:t>Performance Criteria</w:t>
            </w:r>
          </w:p>
        </w:tc>
      </w:tr>
      <w:tr w:rsidTr="000F620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BodyText"/>
            </w:pPr>
            <w:r w:rsidRPr="008346CE">
              <w:rPr>
                <w:rStyle w:val="Emphasis"/>
              </w:rPr>
              <w:t xml:space="preserve">Elements describe the </w:t>
            </w:r>
            <w:r w:rsidRPr="008346CE">
              <w:t xml:space="preserve">essential </w:t>
            </w:r>
            <w:r w:rsidRPr="008346C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rPr>
                <w:rStyle w:val="Emphasis"/>
              </w:rPr>
              <w:t>Performance criteria describe the performance needed to demonstrate achievement of the element.</w:t>
            </w:r>
          </w:p>
        </w:tc>
      </w:tr>
      <w:tr w:rsidTr="000F62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1. Develop, apply and maintain capacity for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BodyText"/>
            </w:pPr>
            <w:r w:rsidRPr="008346CE">
              <w:t>1.1 Demonstrate a systematic approach to investigation, analysis and solution of broadly defined engineeri</w:t>
            </w:r>
            <w:r w:rsidRPr="008346CE">
              <w:t>ng and related problems</w:t>
            </w:r>
          </w:p>
          <w:p w:rsidR="00000000" w:rsidRPr="008346CE" w:rsidP="008346CE">
            <w:pPr>
              <w:pStyle w:val="BodyText"/>
            </w:pPr>
            <w:r w:rsidRPr="008346CE">
              <w:t>1.2 Analyse causes and effects of non-conformances</w:t>
            </w:r>
          </w:p>
          <w:p w:rsidR="00000000" w:rsidRPr="008346CE" w:rsidP="008346CE">
            <w:pPr>
              <w:pStyle w:val="BodyText"/>
            </w:pPr>
            <w:r w:rsidRPr="008346CE">
              <w:t>1.3 Identify issues which require specialist assistance or have implications beyond personal expertise</w:t>
            </w:r>
          </w:p>
          <w:p w:rsidR="00000000" w:rsidRPr="008346CE" w:rsidP="008346CE">
            <w:pPr>
              <w:pStyle w:val="BodyText"/>
            </w:pPr>
            <w:r w:rsidRPr="008346CE">
              <w:t>1.4 Use modelling, prototyping, tests and/or experiments to support problem-so</w:t>
            </w:r>
            <w:r w:rsidRPr="008346CE">
              <w:t>lving</w:t>
            </w:r>
          </w:p>
          <w:p w:rsidR="00000000" w:rsidRPr="008346CE" w:rsidP="008346CE">
            <w:pPr>
              <w:pStyle w:val="BodyText"/>
            </w:pPr>
            <w:r w:rsidRPr="008346CE">
              <w:t>1.5 Interpret, apply and verify compliance with relevant legislation, standards and codes of practice</w:t>
            </w:r>
          </w:p>
          <w:p w:rsidR="00000000" w:rsidRPr="008346CE" w:rsidP="008346CE">
            <w:pPr>
              <w:pStyle w:val="BodyText"/>
            </w:pPr>
            <w:r w:rsidRPr="008346CE">
              <w:t>1.6 Determine properties, performance, safe working limits, failure modes, and/or other inherent parameters of materials, components and systems rel</w:t>
            </w:r>
            <w:r w:rsidRPr="008346CE">
              <w:t>evant to specialist area of expertise</w:t>
            </w:r>
          </w:p>
          <w:p w:rsidR="00000000" w:rsidRPr="008346CE" w:rsidP="008346CE">
            <w:pPr>
              <w:pStyle w:val="BodyText"/>
            </w:pPr>
            <w:r w:rsidRPr="008346CE">
              <w:t>1.7 Apply research and communication techniques to access external reference material and assistance</w:t>
            </w:r>
          </w:p>
          <w:p w:rsidR="00000000" w:rsidRPr="008346CE" w:rsidP="008346CE">
            <w:pPr>
              <w:pStyle w:val="BodyText"/>
            </w:pPr>
            <w:r w:rsidRPr="008346CE">
              <w:t>1.8 Report results of analysis and propose solutions that are appropriate to the needs of the organisation</w:t>
            </w:r>
          </w:p>
          <w:p w:rsidR="00000000" w:rsidP="008346CE">
            <w:pPr>
              <w:pStyle w:val="BodyText"/>
              <w:rPr>
                <w:lang w:val="en-NZ"/>
              </w:rPr>
            </w:pPr>
            <w:r w:rsidRPr="008346CE">
              <w:t xml:space="preserve">1.9 Share </w:t>
            </w:r>
            <w:r w:rsidRPr="008346CE">
              <w:t>and encourage review of work by others in organisation</w:t>
            </w:r>
          </w:p>
        </w:tc>
      </w:tr>
      <w:tr w:rsidTr="000F62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2. Communicate in a manner appropriate for content and audience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BodyText"/>
            </w:pPr>
            <w:r w:rsidRPr="008346CE">
              <w:t>2.1 Actively communicate with others, including listening to, and critically and fairly comprehending, the viewpoints of others</w:t>
            </w:r>
          </w:p>
          <w:p w:rsidR="00000000" w:rsidRPr="008346CE" w:rsidP="008346CE">
            <w:pPr>
              <w:pStyle w:val="BodyText"/>
            </w:pPr>
            <w:r w:rsidRPr="008346CE">
              <w:t>2.2 Expr</w:t>
            </w:r>
            <w:r w:rsidRPr="008346CE">
              <w:t>ess information effectively and succinctly</w:t>
            </w:r>
          </w:p>
          <w:p w:rsidR="00000000" w:rsidRPr="008346CE" w:rsidP="008346CE">
            <w:pPr>
              <w:pStyle w:val="BodyText"/>
            </w:pPr>
            <w:r w:rsidRPr="008346CE">
              <w:t>2.3 Communicate formally and informally with technically competent and non-technically competent individuals and groups in a manner appropriate to their level of knowledge and competency</w:t>
            </w:r>
          </w:p>
          <w:p w:rsidR="00000000" w:rsidRPr="008346CE" w:rsidP="008346CE">
            <w:pPr>
              <w:pStyle w:val="BodyText"/>
            </w:pPr>
            <w:r w:rsidRPr="008346CE">
              <w:t>2.4 Present clear arguments and justification for recommendations</w:t>
            </w:r>
          </w:p>
          <w:p w:rsidR="00000000" w:rsidRPr="008346CE" w:rsidP="008346CE">
            <w:pPr>
              <w:pStyle w:val="BodyText"/>
            </w:pPr>
            <w:r w:rsidRPr="008346CE">
              <w:t>2.5 Use textual, diagrammatic, pictorial and graphical media appropriate to the context</w:t>
            </w:r>
          </w:p>
          <w:p w:rsidR="00000000" w:rsidP="008346CE">
            <w:pPr>
              <w:pStyle w:val="BodyText"/>
              <w:rPr>
                <w:lang w:val="en-NZ"/>
              </w:rPr>
            </w:pPr>
            <w:r w:rsidRPr="008346CE">
              <w:t xml:space="preserve">2.6 Prepare relevant and comprehensive engineering-related documents and reports </w:t>
            </w:r>
          </w:p>
        </w:tc>
      </w:tr>
      <w:tr w:rsidTr="000F62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3. Work within orga</w:t>
            </w:r>
            <w:r w:rsidRPr="008346CE">
              <w:t xml:space="preserve">nisational quality systems and management practices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BodyText"/>
            </w:pPr>
            <w:r w:rsidRPr="008346CE">
              <w:t>3.1 Apply principles of safety engineering</w:t>
            </w:r>
          </w:p>
          <w:p w:rsidR="00000000" w:rsidRPr="008346CE" w:rsidP="008346CE">
            <w:pPr>
              <w:pStyle w:val="BodyText"/>
            </w:pPr>
            <w:r w:rsidRPr="008346CE">
              <w:t>3.2 Identify the role of quality management systems and manage work accordingly</w:t>
            </w:r>
          </w:p>
          <w:p w:rsidR="00000000" w:rsidP="008346CE">
            <w:pPr>
              <w:pStyle w:val="BodyText"/>
              <w:rPr>
                <w:lang w:val="en-NZ"/>
              </w:rPr>
            </w:pPr>
            <w:r w:rsidRPr="008346CE">
              <w:t>3.3 Respect and accommodate the broader context of engineering work within the o</w:t>
            </w:r>
            <w:r w:rsidRPr="008346CE">
              <w:t>rganisation</w:t>
            </w:r>
          </w:p>
        </w:tc>
      </w:tr>
      <w:tr w:rsidTr="000F620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 xml:space="preserve">4. Maintain and apply technical and engineering skills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BodyText"/>
            </w:pPr>
            <w:r w:rsidRPr="008346CE">
              <w:t>4.1 Identify own area of expertise and responsibility in the organisation and relate to one or more engineering disciplines</w:t>
            </w:r>
          </w:p>
          <w:p w:rsidR="00000000" w:rsidRPr="008346CE" w:rsidP="008346CE">
            <w:pPr>
              <w:pStyle w:val="BodyText"/>
            </w:pPr>
            <w:r w:rsidRPr="008346CE">
              <w:t>4.2 Identify current state of development and recent applicatio</w:t>
            </w:r>
            <w:r w:rsidRPr="008346CE">
              <w:t>ns in area of specialist knowledge or discipline</w:t>
            </w:r>
          </w:p>
          <w:p w:rsidR="00000000" w:rsidRPr="008346CE" w:rsidP="008346CE">
            <w:pPr>
              <w:pStyle w:val="BodyText"/>
            </w:pPr>
            <w:r w:rsidRPr="008346CE">
              <w:t>4.3 Determine the key scientific and engineering principles relevant to own area of specialist knowledge or discipline</w:t>
            </w:r>
          </w:p>
          <w:p w:rsidR="00000000" w:rsidRPr="008346CE" w:rsidP="008346CE">
            <w:pPr>
              <w:pStyle w:val="BodyText"/>
            </w:pPr>
            <w:r w:rsidRPr="008346CE">
              <w:t>4.4 Apply, adapt and manage engineering knowledge and practice in different work context</w:t>
            </w:r>
            <w:r w:rsidRPr="008346CE">
              <w:t>s and applications</w:t>
            </w:r>
          </w:p>
          <w:p w:rsidR="00000000" w:rsidRPr="008346CE" w:rsidP="008346CE">
            <w:pPr>
              <w:pStyle w:val="BodyText"/>
            </w:pPr>
            <w:r w:rsidRPr="008346CE">
              <w:t>4.5 Use approaches that work from first principles</w:t>
            </w:r>
          </w:p>
          <w:p w:rsidR="00000000" w:rsidRPr="008346CE" w:rsidP="008346CE">
            <w:pPr>
              <w:pStyle w:val="BodyText"/>
            </w:pPr>
            <w:r w:rsidRPr="008346CE">
              <w:t>4.6 Identify and select materials, components, devices, systems, processes, resources, plant and equipment using appropriate reference materials and own knowledge to meet briefs</w:t>
            </w:r>
          </w:p>
          <w:p w:rsidR="00000000" w:rsidRPr="008346CE" w:rsidP="008346CE">
            <w:pPr>
              <w:pStyle w:val="BodyText"/>
            </w:pPr>
            <w:r w:rsidRPr="008346CE">
              <w:t>4.7 Foll</w:t>
            </w:r>
            <w:r w:rsidRPr="008346CE">
              <w:t>ow processes to maximise use of sustainable engineering practices and the achievement of sustainable outcomes in all facets of technological project work</w:t>
            </w:r>
          </w:p>
          <w:p w:rsidR="00000000" w:rsidRPr="008346CE" w:rsidP="008346CE">
            <w:pPr>
              <w:pStyle w:val="BodyText"/>
            </w:pPr>
            <w:r w:rsidRPr="008346CE">
              <w:t>4.8 Monitor and suggest improvements to the technical framework of the organisation through monitoring</w:t>
            </w:r>
            <w:r w:rsidRPr="008346CE">
              <w:t xml:space="preserve"> of developments in own discipline</w:t>
            </w:r>
          </w:p>
        </w:tc>
      </w:tr>
    </w:tbl>
    <w:p w:rsidR="00000000" w:rsidRPr="008346CE" w:rsidP="008346CE">
      <w:pPr>
        <w:pStyle w:val="BodyText"/>
      </w:pPr>
    </w:p>
    <w:p w:rsidR="00000000" w:rsidRPr="008346CE" w:rsidP="008346CE">
      <w:pPr>
        <w:pStyle w:val="AllowPageBreak"/>
      </w:pPr>
    </w:p>
    <w:p w:rsidR="00000000" w:rsidRPr="008346CE" w:rsidP="008346CE">
      <w:pPr>
        <w:pStyle w:val="Heading1"/>
      </w:pPr>
      <w:bookmarkStart w:id="6" w:name="O_945414"/>
      <w:bookmarkEnd w:id="6"/>
      <w:r w:rsidRPr="008346CE">
        <w:t>Foundation Skills</w:t>
      </w:r>
    </w:p>
    <w:p w:rsidR="00000000" w:rsidRPr="008346CE" w:rsidP="000F6203">
      <w:pPr>
        <w:pStyle w:val="BodyText"/>
      </w:pPr>
      <w:r w:rsidRPr="008346CE">
        <w:t>This section describes those language, literacy, numeracy and employment skills that are essential to performance.</w:t>
      </w:r>
    </w:p>
    <w:p w:rsidR="00000000" w:rsidRPr="008346CE" w:rsidP="000F6203">
      <w:pPr>
        <w:pStyle w:val="BodyText"/>
      </w:pPr>
      <w:r w:rsidRPr="008346CE">
        <w:t>Foundation skills essential to performance are explicit in the performance criteria of this unit of competency.</w:t>
      </w:r>
    </w:p>
    <w:p w:rsidR="00000000" w:rsidRPr="008346CE" w:rsidP="008346CE">
      <w:pPr>
        <w:pStyle w:val="Heading1"/>
      </w:pPr>
      <w:bookmarkStart w:id="7" w:name="O_945413"/>
      <w:bookmarkEnd w:id="7"/>
      <w:r w:rsidRPr="008346CE">
        <w:t>Range of Conditions</w:t>
      </w:r>
    </w:p>
    <w:tbl>
      <w:tblPr>
        <w:tblW w:w="9638" w:type="dxa"/>
        <w:tblLayout w:type="fixed"/>
        <w:tblCellMar>
          <w:left w:w="62" w:type="dxa"/>
          <w:right w:w="62" w:type="dxa"/>
        </w:tblCellMar>
        <w:tblLook w:val="0000"/>
      </w:tblPr>
      <w:tblGrid>
        <w:gridCol w:w="2758"/>
        <w:gridCol w:w="6880"/>
      </w:tblGrid>
      <w:tr w:rsidTr="008346C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This field allows for different work environments and conditions that may affect performance. Essential op</w:t>
            </w:r>
            <w:r w:rsidRPr="008346CE">
              <w:t>erating conditions that may be present (depending on the work situation, needs of the candidate, accessibility of the item, and local industry and regional contexts) are included.</w:t>
            </w:r>
          </w:p>
        </w:tc>
      </w:tr>
      <w:tr w:rsidTr="008346C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Stakeholders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ListBullet"/>
            </w:pPr>
            <w:r w:rsidRPr="008346CE">
              <w:t>internal and external customers</w:t>
            </w:r>
          </w:p>
          <w:p w:rsidR="00000000" w:rsidRPr="008346CE" w:rsidP="008346CE">
            <w:pPr>
              <w:pStyle w:val="ListBullet"/>
            </w:pPr>
            <w:r w:rsidRPr="008346CE">
              <w:t>own team members</w:t>
            </w:r>
          </w:p>
          <w:p w:rsidR="00000000" w:rsidRPr="008346CE" w:rsidP="008346CE">
            <w:pPr>
              <w:pStyle w:val="ListBullet"/>
            </w:pPr>
            <w:r w:rsidRPr="008346CE">
              <w:t>ot</w:t>
            </w:r>
            <w:r w:rsidRPr="008346CE">
              <w:t>her employees, including professional engineers, technicians, tradespersons and operators</w:t>
            </w:r>
          </w:p>
          <w:p w:rsidR="00000000" w:rsidRPr="008346CE" w:rsidP="008346CE">
            <w:pPr>
              <w:pStyle w:val="ListBullet"/>
            </w:pPr>
            <w:r w:rsidRPr="008346CE">
              <w:t>support services and departments including maintenance, accounts and logistics</w:t>
            </w:r>
          </w:p>
          <w:p w:rsidR="00000000" w:rsidRPr="008346CE" w:rsidP="008346CE">
            <w:pPr>
              <w:pStyle w:val="ListBullet"/>
            </w:pPr>
            <w:r w:rsidRPr="008346CE">
              <w:t>regulators</w:t>
            </w:r>
          </w:p>
          <w:p w:rsidR="00000000" w:rsidP="008346CE">
            <w:pPr>
              <w:pStyle w:val="ListBullet"/>
              <w:rPr>
                <w:lang w:val="en-NZ"/>
              </w:rPr>
            </w:pPr>
            <w:r w:rsidRPr="008346CE">
              <w:t>general community.</w:t>
            </w:r>
          </w:p>
        </w:tc>
      </w:tr>
      <w:tr w:rsidTr="008346C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Non-conformances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ListBullet"/>
            </w:pPr>
            <w:r w:rsidRPr="008346CE">
              <w:t>equipment breakdowns and faults</w:t>
            </w:r>
          </w:p>
          <w:p w:rsidR="00000000" w:rsidRPr="008346CE" w:rsidP="008346CE">
            <w:pPr>
              <w:pStyle w:val="ListBullet"/>
            </w:pPr>
            <w:r w:rsidRPr="008346CE">
              <w:t>product returns and warranty claims</w:t>
            </w:r>
          </w:p>
          <w:p w:rsidR="00000000" w:rsidRPr="008346CE" w:rsidP="008346CE">
            <w:pPr>
              <w:pStyle w:val="ListBullet"/>
            </w:pPr>
            <w:r w:rsidRPr="008346CE">
              <w:t>software errors</w:t>
            </w:r>
          </w:p>
          <w:p w:rsidR="00000000" w:rsidRPr="008346CE" w:rsidP="008346CE">
            <w:pPr>
              <w:pStyle w:val="ListBullet"/>
            </w:pPr>
            <w:r w:rsidRPr="008346CE">
              <w:t>cost overruns</w:t>
            </w:r>
          </w:p>
          <w:p w:rsidR="00000000" w:rsidRPr="008346CE" w:rsidP="008346CE">
            <w:pPr>
              <w:pStyle w:val="ListBullet"/>
            </w:pPr>
            <w:r w:rsidRPr="008346CE">
              <w:t>design faults</w:t>
            </w:r>
          </w:p>
          <w:p w:rsidR="00000000" w:rsidRPr="008346CE" w:rsidP="008346CE">
            <w:pPr>
              <w:pStyle w:val="ListBullet"/>
            </w:pPr>
            <w:r w:rsidRPr="008346CE">
              <w:t>non-compliance to a customer brief</w:t>
            </w:r>
          </w:p>
          <w:p w:rsidR="00000000" w:rsidP="008346CE">
            <w:pPr>
              <w:pStyle w:val="ListBullet"/>
              <w:rPr>
                <w:lang w:val="en-NZ"/>
              </w:rPr>
            </w:pPr>
            <w:r w:rsidRPr="008346CE">
              <w:t>breaches of statutory requirements.</w:t>
            </w:r>
          </w:p>
        </w:tc>
      </w:tr>
      <w:tr w:rsidTr="008346C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Documentation and reports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ListBullet"/>
            </w:pPr>
            <w:r w:rsidRPr="008346CE">
              <w:t>progress reports</w:t>
            </w:r>
          </w:p>
          <w:p w:rsidR="00000000" w:rsidRPr="008346CE" w:rsidP="008346CE">
            <w:pPr>
              <w:pStyle w:val="ListBullet"/>
            </w:pPr>
            <w:r w:rsidRPr="008346CE">
              <w:t>project plans</w:t>
            </w:r>
          </w:p>
          <w:p w:rsidR="00000000" w:rsidRPr="008346CE" w:rsidP="008346CE">
            <w:pPr>
              <w:pStyle w:val="ListBullet"/>
            </w:pPr>
            <w:r w:rsidRPr="008346CE">
              <w:t>techn</w:t>
            </w:r>
            <w:r w:rsidRPr="008346CE">
              <w:t>ical investigations and feasibility studies</w:t>
            </w:r>
          </w:p>
          <w:p w:rsidR="00000000" w:rsidRPr="008346CE" w:rsidP="008346CE">
            <w:pPr>
              <w:pStyle w:val="ListBullet"/>
            </w:pPr>
            <w:r w:rsidRPr="008346CE">
              <w:t>proposals</w:t>
            </w:r>
          </w:p>
          <w:p w:rsidR="00000000" w:rsidRPr="008346CE" w:rsidP="008346CE">
            <w:pPr>
              <w:pStyle w:val="ListBullet"/>
            </w:pPr>
            <w:r w:rsidRPr="008346CE">
              <w:t>manufacturer specifications and workshop manuals</w:t>
            </w:r>
          </w:p>
          <w:p w:rsidR="00000000" w:rsidRPr="008346CE" w:rsidP="008346CE">
            <w:pPr>
              <w:pStyle w:val="ListBullet"/>
            </w:pPr>
            <w:r w:rsidRPr="008346CE">
              <w:t>operating procedures</w:t>
            </w:r>
          </w:p>
          <w:p w:rsidR="00000000" w:rsidRPr="008346CE" w:rsidP="008346CE">
            <w:pPr>
              <w:pStyle w:val="ListBullet"/>
            </w:pPr>
            <w:r w:rsidRPr="008346CE">
              <w:t>customer instructions</w:t>
            </w:r>
          </w:p>
          <w:p w:rsidR="00000000" w:rsidRPr="008346CE" w:rsidP="008346CE">
            <w:pPr>
              <w:pStyle w:val="ListBullet"/>
            </w:pPr>
            <w:r w:rsidRPr="008346CE">
              <w:t>design records</w:t>
            </w:r>
          </w:p>
          <w:p w:rsidR="00000000" w:rsidP="008346CE">
            <w:pPr>
              <w:pStyle w:val="ListBullet"/>
              <w:rPr>
                <w:lang w:val="en-NZ"/>
              </w:rPr>
            </w:pPr>
            <w:r w:rsidRPr="008346CE">
              <w:t>engineering drawings.</w:t>
            </w:r>
          </w:p>
        </w:tc>
      </w:tr>
      <w:tr w:rsidTr="008346C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ListBullet"/>
            </w:pPr>
            <w:r w:rsidRPr="008346CE">
              <w:t>WHS acts and regulations and relevant standards</w:t>
            </w:r>
          </w:p>
          <w:p w:rsidR="00000000" w:rsidRPr="008346CE" w:rsidP="008346CE">
            <w:pPr>
              <w:pStyle w:val="ListBullet"/>
            </w:pPr>
            <w:r w:rsidRPr="008346CE">
              <w:t>industry codes of practice</w:t>
            </w:r>
          </w:p>
          <w:p w:rsidR="00000000" w:rsidRPr="008346CE" w:rsidP="008346CE">
            <w:pPr>
              <w:pStyle w:val="ListBullet"/>
            </w:pPr>
            <w:r w:rsidRPr="008346CE">
              <w:t>risk assessments</w:t>
            </w:r>
          </w:p>
          <w:p w:rsidR="00000000" w:rsidRPr="008346CE" w:rsidP="008346CE">
            <w:pPr>
              <w:pStyle w:val="ListBullet"/>
            </w:pPr>
            <w:r w:rsidRPr="008346CE">
              <w:t>registration requirements</w:t>
            </w:r>
          </w:p>
          <w:p w:rsidR="00000000" w:rsidRPr="008346CE" w:rsidP="008346CE">
            <w:pPr>
              <w:pStyle w:val="ListBullet"/>
            </w:pPr>
            <w:r w:rsidRPr="008346CE">
              <w:t>safe work practices</w:t>
            </w:r>
          </w:p>
          <w:p w:rsidR="00000000" w:rsidP="008346CE">
            <w:pPr>
              <w:pStyle w:val="ListBullet"/>
              <w:rPr>
                <w:lang w:val="en-NZ"/>
              </w:rPr>
            </w:pPr>
            <w:r w:rsidRPr="008346CE">
              <w:t>state and territory regulatory requirements.</w:t>
            </w:r>
          </w:p>
        </w:tc>
      </w:tr>
      <w:tr w:rsidTr="008346C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Non-engineering related objectives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ListBullet"/>
            </w:pPr>
            <w:r w:rsidRPr="008346CE">
              <w:t>budgets and other financial management</w:t>
            </w:r>
          </w:p>
          <w:p w:rsidR="00000000" w:rsidRPr="008346CE" w:rsidP="008346CE">
            <w:pPr>
              <w:pStyle w:val="ListBullet"/>
            </w:pPr>
            <w:r w:rsidRPr="008346CE">
              <w:t>sales and marketing</w:t>
            </w:r>
          </w:p>
          <w:p w:rsidR="00000000" w:rsidRPr="008346CE" w:rsidP="008346CE">
            <w:pPr>
              <w:pStyle w:val="ListBullet"/>
            </w:pPr>
            <w:r w:rsidRPr="008346CE">
              <w:t>environment</w:t>
            </w:r>
          </w:p>
          <w:p w:rsidR="00000000" w:rsidRPr="008346CE" w:rsidP="008346CE">
            <w:pPr>
              <w:pStyle w:val="ListBullet"/>
            </w:pPr>
            <w:r w:rsidRPr="008346CE">
              <w:t>human resources (HR)</w:t>
            </w:r>
          </w:p>
          <w:p w:rsidR="00000000" w:rsidP="008346CE">
            <w:pPr>
              <w:pStyle w:val="ListBullet"/>
              <w:rPr>
                <w:lang w:val="en-NZ"/>
              </w:rPr>
            </w:pPr>
            <w:r w:rsidRPr="008346CE">
              <w:t>relationship with the broader community.</w:t>
            </w:r>
          </w:p>
        </w:tc>
      </w:tr>
      <w:tr w:rsidTr="008346C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ListBullet"/>
            </w:pPr>
            <w:r w:rsidRPr="008346CE">
              <w:t>resources and energy</w:t>
            </w:r>
          </w:p>
          <w:p w:rsidR="00000000" w:rsidRPr="008346CE" w:rsidP="008346CE">
            <w:pPr>
              <w:pStyle w:val="ListBullet"/>
            </w:pPr>
            <w:r w:rsidRPr="008346CE">
              <w:t>social and economic factors affecting design of machines and equipment</w:t>
            </w:r>
          </w:p>
          <w:p w:rsidR="00000000" w:rsidRPr="008346CE" w:rsidP="008346CE">
            <w:pPr>
              <w:pStyle w:val="ListBullet"/>
            </w:pPr>
            <w:r w:rsidRPr="008346CE">
              <w:t>life</w:t>
            </w:r>
            <w:r w:rsidRPr="008346CE">
              <w:t xml:space="preserve"> cycle design of product (manufacture to re-manufacture or recycle)</w:t>
            </w:r>
          </w:p>
          <w:p w:rsidR="00000000" w:rsidRPr="008346CE" w:rsidP="008346CE">
            <w:pPr>
              <w:pStyle w:val="ListBullet"/>
            </w:pPr>
            <w:r w:rsidRPr="008346CE">
              <w:t>raw material, solids and hazardous waste, and production by-products</w:t>
            </w:r>
          </w:p>
          <w:p w:rsidR="00000000" w:rsidRPr="008346CE" w:rsidP="008346CE">
            <w:pPr>
              <w:pStyle w:val="ListBullet"/>
            </w:pPr>
            <w:r w:rsidRPr="008346CE">
              <w:t>contamination of land, air and stormwater pollutants, and discharge to sewerage</w:t>
            </w:r>
          </w:p>
          <w:p w:rsidR="00000000" w:rsidP="008346CE">
            <w:pPr>
              <w:pStyle w:val="ListBullet"/>
              <w:rPr>
                <w:lang w:val="en-NZ"/>
              </w:rPr>
            </w:pPr>
            <w:r w:rsidRPr="008346CE">
              <w:t>climate change.</w:t>
            </w:r>
          </w:p>
        </w:tc>
      </w:tr>
      <w:tr w:rsidTr="008346C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6CE">
            <w:pPr>
              <w:pStyle w:val="BodyText"/>
              <w:rPr>
                <w:lang w:val="en-NZ"/>
              </w:rPr>
            </w:pPr>
            <w:r w:rsidRPr="008346CE">
              <w:t>Legislation, standards</w:t>
            </w:r>
            <w:r w:rsidRPr="008346CE">
              <w:t xml:space="preserve"> and codes of practice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6CE" w:rsidP="008346CE">
            <w:pPr>
              <w:pStyle w:val="ListBullet"/>
            </w:pPr>
            <w:r w:rsidRPr="008346CE">
              <w:t>AS/NZS 4024.1 Safety of machinery</w:t>
            </w:r>
          </w:p>
          <w:p w:rsidR="00000000" w:rsidRPr="008346CE" w:rsidP="008346CE">
            <w:pPr>
              <w:pStyle w:val="ListBullet"/>
            </w:pPr>
            <w:r w:rsidRPr="008346CE">
              <w:t>AS/NZS ISO 31000 Risk management – Principles and guidelines</w:t>
            </w:r>
          </w:p>
          <w:p w:rsidR="00000000" w:rsidRPr="008346CE" w:rsidP="008346CE">
            <w:pPr>
              <w:pStyle w:val="ListBullet"/>
            </w:pPr>
            <w:r w:rsidRPr="008346CE">
              <w:t>NOHSC:1010 National standard for Plant</w:t>
            </w:r>
          </w:p>
          <w:p w:rsidR="00000000" w:rsidRPr="008346CE" w:rsidP="008346CE">
            <w:pPr>
              <w:pStyle w:val="ListBullet"/>
            </w:pPr>
            <w:r w:rsidRPr="008346CE">
              <w:t>NOHSC:1014 National standard for the Control of Major Hazard Facilities</w:t>
            </w:r>
          </w:p>
          <w:p w:rsidR="00000000" w:rsidRPr="008346CE" w:rsidP="008346CE">
            <w:pPr>
              <w:pStyle w:val="ListBullet"/>
            </w:pPr>
            <w:r w:rsidRPr="008346CE">
              <w:t>WHS legislation and regulations</w:t>
            </w:r>
          </w:p>
          <w:p w:rsidR="00000000" w:rsidRPr="008346CE" w:rsidP="008346CE">
            <w:pPr>
              <w:pStyle w:val="ListBullet"/>
            </w:pPr>
            <w:r w:rsidRPr="008346CE">
              <w:t>industrial law and awards</w:t>
            </w:r>
          </w:p>
          <w:p w:rsidR="00000000" w:rsidRPr="008346CE" w:rsidP="008346CE">
            <w:pPr>
              <w:pStyle w:val="ListBullet"/>
            </w:pPr>
            <w:r w:rsidRPr="008346CE">
              <w:t>trade practices</w:t>
            </w:r>
          </w:p>
          <w:p w:rsidR="00000000" w:rsidRPr="008346CE" w:rsidP="008346CE">
            <w:pPr>
              <w:pStyle w:val="ListBullet"/>
            </w:pPr>
            <w:r w:rsidRPr="008346CE">
              <w:t>environmental protection</w:t>
            </w:r>
          </w:p>
          <w:p w:rsidR="00000000" w:rsidRPr="008346CE" w:rsidP="008346CE">
            <w:pPr>
              <w:pStyle w:val="ListBullet"/>
            </w:pPr>
            <w:r w:rsidRPr="008346CE">
              <w:t>workers compensation</w:t>
            </w:r>
          </w:p>
          <w:p w:rsidR="00000000" w:rsidRPr="008346CE" w:rsidP="008346CE">
            <w:pPr>
              <w:pStyle w:val="ListBullet"/>
            </w:pPr>
            <w:r w:rsidRPr="008346CE">
              <w:t>equality and antidiscrimination</w:t>
            </w:r>
          </w:p>
          <w:p w:rsidR="00000000" w:rsidRPr="008346CE" w:rsidP="008346CE">
            <w:pPr>
              <w:pStyle w:val="ListBullet"/>
            </w:pPr>
            <w:r w:rsidRPr="008346CE">
              <w:t>contract law</w:t>
            </w:r>
          </w:p>
          <w:p w:rsidR="00000000" w:rsidRPr="008346CE" w:rsidP="008346CE">
            <w:pPr>
              <w:pStyle w:val="ListBullet"/>
            </w:pPr>
            <w:r w:rsidRPr="008346CE">
              <w:t>Australian and international standards.</w:t>
            </w:r>
          </w:p>
        </w:tc>
      </w:tr>
    </w:tbl>
    <w:p w:rsidR="00000000" w:rsidRPr="008346CE" w:rsidP="008346CE">
      <w:pPr>
        <w:pStyle w:val="BodyText"/>
      </w:pPr>
    </w:p>
    <w:p w:rsidR="00000000" w:rsidRPr="008346CE" w:rsidP="008346CE">
      <w:pPr>
        <w:pStyle w:val="AllowPageBreak"/>
      </w:pPr>
    </w:p>
    <w:p w:rsidR="00000000" w:rsidRPr="008346CE" w:rsidP="008346CE">
      <w:pPr>
        <w:pStyle w:val="Heading1"/>
      </w:pPr>
      <w:bookmarkStart w:id="8" w:name="O_945412"/>
      <w:bookmarkEnd w:id="8"/>
      <w:r w:rsidRPr="008346CE">
        <w:t>Unit Mapping Information</w:t>
      </w:r>
    </w:p>
    <w:p w:rsidR="00000000" w:rsidRPr="008346CE" w:rsidP="000F6203">
      <w:pPr>
        <w:pStyle w:val="BodyText"/>
      </w:pPr>
      <w:r w:rsidRPr="008346CE">
        <w:t>Release</w:t>
      </w:r>
      <w:r w:rsidRPr="008346CE">
        <w:t xml:space="preserve"> 1. Supersedes and is equivalent to MEM234035A Maintain and apply technical and engineering skills.</w:t>
      </w:r>
    </w:p>
    <w:p w:rsidR="00000000" w:rsidRPr="008346CE" w:rsidP="008346CE">
      <w:pPr>
        <w:pStyle w:val="Heading1"/>
      </w:pPr>
      <w:bookmarkStart w:id="9" w:name="O_945405"/>
      <w:bookmarkEnd w:id="9"/>
      <w:r w:rsidRPr="008346CE">
        <w:t>Links</w:t>
      </w:r>
    </w:p>
    <w:p w:rsidR="00000000" w:rsidRPr="008346CE" w:rsidP="000F6203">
      <w:pPr>
        <w:pStyle w:val="BodyText"/>
      </w:pPr>
      <w:r w:rsidRPr="008346C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52BFE">
        <w:rPr>
          <w:rStyle w:val="Hyperlink"/>
        </w:rPr>
        <w:t>https://vetnet.gov.au/Pages/TrainingDocs.aspx?q=b7050d37-5fd0-4740-8f7d-3b7a49c10bb2</w:t>
      </w:r>
      <w:r>
        <w:fldChar w:fldCharType="end"/>
      </w:r>
    </w:p>
    <w:p w:rsidR="00000000" w:rsidRPr="008346CE" w:rsidP="008346CE"/>
    <w:sectPr w:rsidSect="008346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CE" w:rsidRPr="000F6203" w:rsidP="000F6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3" w:rsidP="00834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6203" w:rsidP="008346C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6203" w:rsidP="00834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6CE" w:rsidRPr="000F6203" w:rsidP="000F6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203" w:rsidRPr="002D2AF8" w:rsidP="008346CE">
    <w:pPr>
      <w:pStyle w:val="Header"/>
      <w:framePr w:wrap="around"/>
    </w:pPr>
    <w:r>
      <w:fldChar w:fldCharType="begin"/>
    </w:r>
    <w:r>
      <w:instrText xml:space="preserve"> TITLE   \* MERGEFORMAT </w:instrText>
    </w:r>
    <w:r>
      <w:fldChar w:fldCharType="separate"/>
    </w:r>
    <w:r>
      <w:t>MEM234035 Maintain and apply technical and engineering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F6203" w:rsidP="00834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4E86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508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6CE"/>
    <w:pPr>
      <w:spacing w:before="360" w:after="60"/>
      <w:outlineLvl w:val="0"/>
    </w:pPr>
    <w:rPr>
      <w:sz w:val="32"/>
    </w:rPr>
  </w:style>
  <w:style w:type="paragraph" w:styleId="Heading2">
    <w:name w:val="heading 2"/>
    <w:basedOn w:val="HeadingBase"/>
    <w:next w:val="BodyText"/>
    <w:link w:val="Heading2Char"/>
    <w:qFormat/>
    <w:rsid w:val="008346CE"/>
    <w:pPr>
      <w:keepLines/>
      <w:spacing w:before="240" w:after="120"/>
      <w:outlineLvl w:val="1"/>
    </w:pPr>
    <w:rPr>
      <w:sz w:val="28"/>
      <w:szCs w:val="40"/>
    </w:rPr>
  </w:style>
  <w:style w:type="paragraph" w:styleId="Heading3">
    <w:name w:val="heading 3"/>
    <w:basedOn w:val="HeadingBase"/>
    <w:next w:val="BodyText"/>
    <w:link w:val="Heading3Char"/>
    <w:qFormat/>
    <w:rsid w:val="008346CE"/>
    <w:pPr>
      <w:spacing w:before="180" w:after="120"/>
      <w:outlineLvl w:val="2"/>
    </w:pPr>
    <w:rPr>
      <w:spacing w:val="-10"/>
      <w:kern w:val="32"/>
    </w:rPr>
  </w:style>
  <w:style w:type="paragraph" w:styleId="Heading4">
    <w:name w:val="heading 4"/>
    <w:basedOn w:val="HeadingBase"/>
    <w:next w:val="BodyText"/>
    <w:link w:val="Heading4Char"/>
    <w:qFormat/>
    <w:rsid w:val="008346CE"/>
    <w:pPr>
      <w:spacing w:before="160" w:after="120"/>
      <w:outlineLvl w:val="3"/>
    </w:pPr>
    <w:rPr>
      <w:sz w:val="22"/>
    </w:rPr>
  </w:style>
  <w:style w:type="paragraph" w:styleId="Heading5">
    <w:name w:val="heading 5"/>
    <w:basedOn w:val="HeadingBase"/>
    <w:next w:val="Normal"/>
    <w:link w:val="Heading5Char"/>
    <w:qFormat/>
    <w:rsid w:val="008346CE"/>
    <w:pPr>
      <w:spacing w:before="80"/>
      <w:outlineLvl w:val="4"/>
    </w:pPr>
    <w:rPr>
      <w:color w:val="918585"/>
      <w:sz w:val="20"/>
    </w:rPr>
  </w:style>
  <w:style w:type="paragraph" w:styleId="Heading6">
    <w:name w:val="heading 6"/>
    <w:basedOn w:val="HeadingBase"/>
    <w:next w:val="Normal"/>
    <w:link w:val="Heading6Char"/>
    <w:qFormat/>
    <w:rsid w:val="008346CE"/>
    <w:pPr>
      <w:spacing w:before="60"/>
      <w:outlineLvl w:val="5"/>
    </w:pPr>
    <w:rPr>
      <w:color w:val="918585"/>
      <w:sz w:val="20"/>
    </w:rPr>
  </w:style>
  <w:style w:type="paragraph" w:styleId="Heading7">
    <w:name w:val="heading 7"/>
    <w:basedOn w:val="Normal"/>
    <w:next w:val="Normal"/>
    <w:link w:val="Heading7Char"/>
    <w:qFormat/>
    <w:rsid w:val="008346CE"/>
    <w:pPr>
      <w:ind w:left="720"/>
      <w:outlineLvl w:val="6"/>
    </w:pPr>
    <w:rPr>
      <w:i/>
    </w:rPr>
  </w:style>
  <w:style w:type="paragraph" w:styleId="Heading8">
    <w:name w:val="heading 8"/>
    <w:basedOn w:val="Normal"/>
    <w:next w:val="Normal"/>
    <w:link w:val="Heading8Char"/>
    <w:qFormat/>
    <w:rsid w:val="008346CE"/>
    <w:pPr>
      <w:ind w:left="720"/>
      <w:outlineLvl w:val="7"/>
    </w:pPr>
    <w:rPr>
      <w:i/>
    </w:rPr>
  </w:style>
  <w:style w:type="paragraph" w:styleId="Heading9">
    <w:name w:val="heading 9"/>
    <w:basedOn w:val="Normal"/>
    <w:next w:val="Normal"/>
    <w:link w:val="Heading9Char"/>
    <w:qFormat/>
    <w:rsid w:val="008346CE"/>
    <w:pPr>
      <w:ind w:left="720"/>
      <w:outlineLvl w:val="8"/>
    </w:pPr>
    <w:rPr>
      <w:i/>
    </w:rPr>
  </w:style>
  <w:style w:type="character" w:default="1" w:styleId="DefaultParagraphFont">
    <w:name w:val="Default Paragraph Font"/>
    <w:uiPriority w:val="1"/>
    <w:unhideWhenUsed/>
    <w:rsid w:val="00834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6CE"/>
  </w:style>
  <w:style w:type="character" w:customStyle="1" w:styleId="Heading1Char">
    <w:name w:val="Heading 1 Char"/>
    <w:basedOn w:val="DefaultParagraphFont"/>
    <w:link w:val="Heading1"/>
    <w:rsid w:val="008346CE"/>
    <w:rPr>
      <w:rFonts w:ascii="Times New Roman" w:eastAsia="Times New Roman" w:hAnsi="Times New Roman" w:cs="Times New Roman"/>
      <w:b/>
      <w:sz w:val="32"/>
      <w:szCs w:val="20"/>
      <w:lang w:eastAsia="en-US"/>
    </w:rPr>
  </w:style>
  <w:style w:type="paragraph" w:styleId="BodyText">
    <w:name w:val="Body Text"/>
    <w:basedOn w:val="Normal"/>
    <w:link w:val="BodyTextChar"/>
    <w:rsid w:val="008346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6CE"/>
    <w:rPr>
      <w:rFonts w:ascii="Times New Roman" w:eastAsia="Times New Roman" w:hAnsi="Times New Roman" w:cs="Times New Roman"/>
      <w:sz w:val="24"/>
      <w:lang w:eastAsia="en-US"/>
    </w:rPr>
  </w:style>
  <w:style w:type="paragraph" w:styleId="ListBullet">
    <w:name w:val="List Bullet"/>
    <w:basedOn w:val="List"/>
    <w:rsid w:val="008346CE"/>
    <w:pPr>
      <w:numPr>
        <w:numId w:val="11"/>
      </w:numPr>
      <w:tabs>
        <w:tab w:val="clear" w:pos="340"/>
      </w:tabs>
      <w:spacing w:before="40" w:after="40"/>
    </w:pPr>
  </w:style>
  <w:style w:type="character" w:customStyle="1" w:styleId="SpecialBold">
    <w:name w:val="Special Bold"/>
    <w:basedOn w:val="DefaultParagraphFont"/>
    <w:rsid w:val="008346CE"/>
    <w:rPr>
      <w:b/>
      <w:spacing w:val="0"/>
    </w:rPr>
  </w:style>
  <w:style w:type="character" w:styleId="Emphasis">
    <w:name w:val="Emphasis"/>
    <w:basedOn w:val="DefaultParagraphFont"/>
    <w:qFormat/>
    <w:rsid w:val="008346CE"/>
    <w:rPr>
      <w:i/>
    </w:rPr>
  </w:style>
  <w:style w:type="paragraph" w:customStyle="1" w:styleId="SuperHeading">
    <w:name w:val="SuperHeading"/>
    <w:basedOn w:val="Normal"/>
    <w:rsid w:val="008346CE"/>
    <w:pPr>
      <w:spacing w:before="240" w:after="120"/>
      <w:outlineLvl w:val="0"/>
    </w:pPr>
    <w:rPr>
      <w:rFonts w:ascii="Times New Roman" w:hAnsi="Times New Roman"/>
      <w:b/>
      <w:sz w:val="32"/>
    </w:rPr>
  </w:style>
  <w:style w:type="paragraph" w:customStyle="1" w:styleId="AllowPageBreak">
    <w:name w:val="AllowPageBreak"/>
    <w:rsid w:val="00834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6CE"/>
    <w:rPr>
      <w:rFonts w:ascii="Courier New" w:eastAsia="Times New Roman" w:hAnsi="Courier New" w:cs="Times New Roman"/>
      <w:i/>
      <w:szCs w:val="20"/>
      <w:lang w:eastAsia="en-US"/>
    </w:rPr>
  </w:style>
  <w:style w:type="paragraph" w:customStyle="1" w:styleId="HeadingBase">
    <w:name w:val="Heading Base"/>
    <w:rsid w:val="00834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6CE"/>
    <w:pPr>
      <w:tabs>
        <w:tab w:val="right" w:leader="dot" w:pos="9072"/>
      </w:tabs>
      <w:ind w:left="567"/>
    </w:pPr>
    <w:rPr>
      <w:szCs w:val="22"/>
    </w:rPr>
  </w:style>
  <w:style w:type="paragraph" w:customStyle="1" w:styleId="TOCBase">
    <w:name w:val="TOC Base"/>
    <w:rsid w:val="00834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6CE"/>
    <w:pPr>
      <w:tabs>
        <w:tab w:val="right" w:leader="dot" w:pos="9072"/>
      </w:tabs>
      <w:spacing w:before="40" w:after="40"/>
      <w:ind w:left="284"/>
    </w:pPr>
    <w:rPr>
      <w:rFonts w:ascii="Times New Roman" w:hAnsi="Times New Roman"/>
    </w:rPr>
  </w:style>
  <w:style w:type="paragraph" w:styleId="TOC1">
    <w:name w:val="toc 1"/>
    <w:basedOn w:val="TOCBase"/>
    <w:next w:val="Normal"/>
    <w:rsid w:val="00834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6CE"/>
    <w:rPr>
      <w:rFonts w:ascii="Times New Roman" w:eastAsia="Times New Roman" w:hAnsi="Times New Roman" w:cs="Times New Roman"/>
      <w:sz w:val="16"/>
      <w:lang w:eastAsia="en-US"/>
    </w:rPr>
  </w:style>
  <w:style w:type="paragraph" w:styleId="Title">
    <w:name w:val="Title"/>
    <w:basedOn w:val="HeadingBase"/>
    <w:link w:val="TitleChar"/>
    <w:qFormat/>
    <w:rsid w:val="008346CE"/>
    <w:pPr>
      <w:spacing w:before="5040"/>
      <w:jc w:val="center"/>
    </w:pPr>
    <w:rPr>
      <w:sz w:val="48"/>
      <w:szCs w:val="72"/>
      <w:lang w:val="en-US"/>
    </w:rPr>
  </w:style>
  <w:style w:type="character" w:customStyle="1" w:styleId="TitleChar">
    <w:name w:val="Title Char"/>
    <w:basedOn w:val="DefaultParagraphFont"/>
    <w:link w:val="Title"/>
    <w:rsid w:val="00834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6CE"/>
    <w:pPr>
      <w:tabs>
        <w:tab w:val="left" w:pos="3600"/>
        <w:tab w:val="left" w:pos="3958"/>
      </w:tabs>
    </w:pPr>
  </w:style>
  <w:style w:type="paragraph" w:styleId="List">
    <w:name w:val="List"/>
    <w:basedOn w:val="BodyText"/>
    <w:next w:val="BodyText"/>
    <w:rsid w:val="008346CE"/>
    <w:pPr>
      <w:tabs>
        <w:tab w:val="left" w:pos="340"/>
      </w:tabs>
      <w:spacing w:before="60" w:after="60"/>
      <w:ind w:left="340" w:hanging="340"/>
    </w:pPr>
  </w:style>
  <w:style w:type="paragraph" w:customStyle="1" w:styleId="Note">
    <w:name w:val="Note"/>
    <w:basedOn w:val="BodyText"/>
    <w:rsid w:val="00834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6CE"/>
    <w:pPr>
      <w:framePr w:wrap="auto" w:hAnchor="text" w:y="6049"/>
    </w:pPr>
    <w:rPr>
      <w:color w:val="000000"/>
      <w:sz w:val="40"/>
    </w:rPr>
  </w:style>
  <w:style w:type="paragraph" w:customStyle="1" w:styleId="TOCTitle">
    <w:name w:val="TOCTitle"/>
    <w:basedOn w:val="Heading1"/>
    <w:rsid w:val="008346CE"/>
    <w:pPr>
      <w:spacing w:after="240"/>
      <w:jc w:val="center"/>
      <w:outlineLvl w:val="9"/>
    </w:pPr>
    <w:rPr>
      <w:caps/>
    </w:rPr>
  </w:style>
  <w:style w:type="paragraph" w:customStyle="1" w:styleId="Version">
    <w:name w:val="Version"/>
    <w:rsid w:val="008346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6CE"/>
    <w:pPr>
      <w:numPr>
        <w:numId w:val="12"/>
      </w:numPr>
      <w:tabs>
        <w:tab w:val="clear" w:pos="680"/>
      </w:tabs>
    </w:pPr>
  </w:style>
  <w:style w:type="paragraph" w:styleId="Index1">
    <w:name w:val="index 1"/>
    <w:basedOn w:val="Normal"/>
    <w:next w:val="Normal"/>
    <w:semiHidden/>
    <w:rsid w:val="008346CE"/>
    <w:pPr>
      <w:keepNext w:val="0"/>
      <w:tabs>
        <w:tab w:val="right" w:pos="4176"/>
      </w:tabs>
      <w:ind w:left="198" w:hanging="198"/>
    </w:pPr>
    <w:rPr>
      <w:rFonts w:ascii="Garamond" w:hAnsi="Garamond"/>
    </w:rPr>
  </w:style>
  <w:style w:type="paragraph" w:styleId="IndexHeading">
    <w:name w:val="index heading"/>
    <w:basedOn w:val="Normal"/>
    <w:next w:val="Index1"/>
    <w:semiHidden/>
    <w:rsid w:val="008346CE"/>
    <w:pPr>
      <w:spacing w:before="120" w:after="120"/>
    </w:pPr>
    <w:rPr>
      <w:rFonts w:ascii="Arial" w:hAnsi="Arial"/>
      <w:b/>
      <w:color w:val="918585"/>
      <w:sz w:val="24"/>
    </w:rPr>
  </w:style>
  <w:style w:type="paragraph" w:styleId="Header">
    <w:name w:val="header"/>
    <w:basedOn w:val="Normal"/>
    <w:link w:val="HeaderChar"/>
    <w:rsid w:val="00834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6CE"/>
    <w:rPr>
      <w:rFonts w:ascii="Times New Roman" w:eastAsia="Times New Roman" w:hAnsi="Times New Roman" w:cs="Times New Roman"/>
      <w:sz w:val="16"/>
      <w:szCs w:val="20"/>
      <w:lang w:val="en-GB" w:eastAsia="en-US"/>
    </w:rPr>
  </w:style>
  <w:style w:type="paragraph" w:customStyle="1" w:styleId="Chapter">
    <w:name w:val="Chapter"/>
    <w:basedOn w:val="Normal"/>
    <w:rsid w:val="008346CE"/>
    <w:pPr>
      <w:spacing w:before="240"/>
    </w:pPr>
    <w:rPr>
      <w:rFonts w:ascii="Times New Roman" w:hAnsi="Times New Roman"/>
      <w:smallCaps/>
      <w:spacing w:val="80"/>
      <w:sz w:val="28"/>
    </w:rPr>
  </w:style>
  <w:style w:type="paragraph" w:customStyle="1" w:styleId="InChapter">
    <w:name w:val="InChapter"/>
    <w:basedOn w:val="Heading3"/>
    <w:rsid w:val="008346CE"/>
    <w:pPr>
      <w:spacing w:after="240"/>
      <w:outlineLvl w:val="9"/>
    </w:pPr>
    <w:rPr>
      <w:noProof/>
    </w:rPr>
  </w:style>
  <w:style w:type="paragraph" w:styleId="Index2">
    <w:name w:val="index 2"/>
    <w:basedOn w:val="Normal"/>
    <w:next w:val="Normal"/>
    <w:semiHidden/>
    <w:rsid w:val="008346CE"/>
    <w:pPr>
      <w:tabs>
        <w:tab w:val="right" w:pos="4176"/>
      </w:tabs>
      <w:ind w:left="568" w:hanging="284"/>
    </w:pPr>
    <w:rPr>
      <w:rFonts w:ascii="Garamond" w:hAnsi="Garamond"/>
    </w:rPr>
  </w:style>
  <w:style w:type="paragraph" w:customStyle="1" w:styleId="Byline">
    <w:name w:val="Byline"/>
    <w:rsid w:val="00834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6CE"/>
    <w:pPr>
      <w:tabs>
        <w:tab w:val="clear" w:pos="3600"/>
        <w:tab w:val="clear" w:pos="3958"/>
      </w:tabs>
      <w:jc w:val="right"/>
    </w:pPr>
  </w:style>
  <w:style w:type="paragraph" w:styleId="Caption">
    <w:name w:val="caption"/>
    <w:basedOn w:val="BodyText"/>
    <w:next w:val="Normal"/>
    <w:qFormat/>
    <w:rsid w:val="008346CE"/>
    <w:pPr>
      <w:framePr w:w="2268" w:hSpace="181" w:vSpace="181" w:wrap="around" w:vAnchor="text" w:hAnchor="page" w:x="1135" w:y="285" w:anchorLock="1"/>
    </w:pPr>
    <w:rPr>
      <w:i/>
    </w:rPr>
  </w:style>
  <w:style w:type="paragraph" w:customStyle="1" w:styleId="MiniTOCTitle">
    <w:name w:val="MiniTOCTitle"/>
    <w:basedOn w:val="Heading4"/>
    <w:rsid w:val="008346CE"/>
    <w:pPr>
      <w:spacing w:before="240"/>
      <w:outlineLvl w:val="9"/>
    </w:pPr>
    <w:rPr>
      <w:noProof/>
      <w:sz w:val="24"/>
    </w:rPr>
  </w:style>
  <w:style w:type="paragraph" w:customStyle="1" w:styleId="MiniTOCItem">
    <w:name w:val="MiniTOCItem"/>
    <w:basedOn w:val="ListBullet"/>
    <w:rsid w:val="008346CE"/>
    <w:pPr>
      <w:numPr>
        <w:numId w:val="0"/>
      </w:numPr>
      <w:tabs>
        <w:tab w:val="right" w:leader="dot" w:pos="6521"/>
      </w:tabs>
      <w:spacing w:before="0" w:after="0"/>
    </w:pPr>
  </w:style>
  <w:style w:type="paragraph" w:customStyle="1" w:styleId="TOFTitle">
    <w:name w:val="TOFTitle"/>
    <w:basedOn w:val="TOCTitle"/>
    <w:rsid w:val="008346CE"/>
  </w:style>
  <w:style w:type="paragraph" w:styleId="TableofFigures">
    <w:name w:val="table of figures"/>
    <w:basedOn w:val="Normal"/>
    <w:next w:val="Normal"/>
    <w:semiHidden/>
    <w:rsid w:val="008346CE"/>
    <w:pPr>
      <w:tabs>
        <w:tab w:val="right" w:leader="dot" w:pos="9072"/>
      </w:tabs>
      <w:ind w:left="970" w:hanging="403"/>
    </w:pPr>
    <w:rPr>
      <w:rFonts w:ascii="Times New Roman" w:hAnsi="Times New Roman"/>
      <w:b/>
    </w:rPr>
  </w:style>
  <w:style w:type="paragraph" w:styleId="ListNumber">
    <w:name w:val="List Number"/>
    <w:basedOn w:val="List"/>
    <w:rsid w:val="008346CE"/>
    <w:pPr>
      <w:numPr>
        <w:numId w:val="14"/>
      </w:numPr>
      <w:tabs>
        <w:tab w:val="clear" w:pos="340"/>
      </w:tabs>
    </w:pPr>
  </w:style>
  <w:style w:type="character" w:customStyle="1" w:styleId="WingdingSymbols">
    <w:name w:val="Wingding Symbols"/>
    <w:rsid w:val="008346CE"/>
    <w:rPr>
      <w:rFonts w:ascii="Wingdings" w:hAnsi="Wingdings"/>
    </w:rPr>
  </w:style>
  <w:style w:type="paragraph" w:customStyle="1" w:styleId="TableHeading">
    <w:name w:val="Table Heading"/>
    <w:basedOn w:val="HeadingBase"/>
    <w:rsid w:val="008346CE"/>
    <w:pPr>
      <w:keepLines/>
      <w:pBdr>
        <w:bottom w:val="single" w:sz="6" w:space="1" w:color="918585"/>
      </w:pBdr>
      <w:spacing w:before="240"/>
    </w:pPr>
  </w:style>
  <w:style w:type="character" w:customStyle="1" w:styleId="HotSpot">
    <w:name w:val="HotSpot"/>
    <w:rsid w:val="008346CE"/>
    <w:rPr>
      <w:color w:val="0033CC"/>
      <w:u w:val="none"/>
    </w:rPr>
  </w:style>
  <w:style w:type="paragraph" w:customStyle="1" w:styleId="BodyTextRight">
    <w:name w:val="Body Text Right"/>
    <w:basedOn w:val="BodyText"/>
    <w:rsid w:val="008346CE"/>
    <w:pPr>
      <w:spacing w:before="0" w:after="0"/>
      <w:jc w:val="right"/>
    </w:pPr>
  </w:style>
  <w:style w:type="paragraph" w:styleId="Index3">
    <w:name w:val="index 3"/>
    <w:basedOn w:val="ListNumber2"/>
    <w:next w:val="Normal"/>
    <w:semiHidden/>
    <w:rsid w:val="008346CE"/>
    <w:pPr>
      <w:numPr>
        <w:numId w:val="0"/>
      </w:numPr>
      <w:tabs>
        <w:tab w:val="right" w:leader="dot" w:pos="4176"/>
      </w:tabs>
    </w:pPr>
  </w:style>
  <w:style w:type="paragraph" w:styleId="ListNumber2">
    <w:name w:val="List Number 2"/>
    <w:basedOn w:val="List2"/>
    <w:rsid w:val="008346CE"/>
    <w:pPr>
      <w:numPr>
        <w:numId w:val="9"/>
      </w:numPr>
      <w:tabs>
        <w:tab w:val="clear" w:pos="1060"/>
      </w:tabs>
    </w:pPr>
  </w:style>
  <w:style w:type="paragraph" w:customStyle="1" w:styleId="MarginNote">
    <w:name w:val="Margin Note"/>
    <w:basedOn w:val="BodyText"/>
    <w:rsid w:val="00834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6CE"/>
    <w:rPr>
      <w:sz w:val="32"/>
    </w:rPr>
  </w:style>
  <w:style w:type="paragraph" w:customStyle="1" w:styleId="HeadingProcedure">
    <w:name w:val="Heading Procedure"/>
    <w:basedOn w:val="HeadingBase"/>
    <w:next w:val="Normal"/>
    <w:rsid w:val="008346CE"/>
    <w:pPr>
      <w:tabs>
        <w:tab w:val="left" w:pos="0"/>
      </w:tabs>
      <w:spacing w:before="120" w:after="60"/>
    </w:pPr>
    <w:rPr>
      <w:i/>
      <w:color w:val="918585"/>
      <w:sz w:val="22"/>
    </w:rPr>
  </w:style>
  <w:style w:type="paragraph" w:customStyle="1" w:styleId="TableBodyText">
    <w:name w:val="Table Body Text"/>
    <w:basedOn w:val="BodyText"/>
    <w:rsid w:val="008346CE"/>
    <w:pPr>
      <w:spacing w:before="60" w:after="60"/>
    </w:pPr>
  </w:style>
  <w:style w:type="paragraph" w:styleId="ListContinue">
    <w:name w:val="List Continue"/>
    <w:basedOn w:val="List"/>
    <w:rsid w:val="008346CE"/>
    <w:pPr>
      <w:ind w:firstLine="0"/>
    </w:pPr>
  </w:style>
  <w:style w:type="paragraph" w:customStyle="1" w:styleId="ListNote">
    <w:name w:val="List Note"/>
    <w:basedOn w:val="List"/>
    <w:rsid w:val="008346CE"/>
    <w:pPr>
      <w:pBdr>
        <w:top w:val="single" w:sz="6" w:space="2" w:color="918585"/>
        <w:bottom w:val="single" w:sz="6" w:space="2" w:color="918585"/>
      </w:pBdr>
      <w:tabs>
        <w:tab w:val="left" w:pos="1021"/>
      </w:tabs>
      <w:ind w:firstLine="0"/>
    </w:pPr>
  </w:style>
  <w:style w:type="paragraph" w:customStyle="1" w:styleId="Warning">
    <w:name w:val="Warning"/>
    <w:basedOn w:val="BodyText"/>
    <w:rsid w:val="008346CE"/>
    <w:pPr>
      <w:shd w:val="clear" w:color="auto" w:fill="D9D9D9"/>
      <w:tabs>
        <w:tab w:val="left" w:pos="992"/>
      </w:tabs>
      <w:ind w:left="119" w:right="119"/>
    </w:pPr>
    <w:rPr>
      <w:sz w:val="20"/>
    </w:rPr>
  </w:style>
  <w:style w:type="paragraph" w:customStyle="1" w:styleId="MarginIcons">
    <w:name w:val="Margin Icons"/>
    <w:basedOn w:val="BodyText"/>
    <w:rsid w:val="00834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6CE"/>
    <w:rPr>
      <w:rFonts w:ascii="Courier New" w:hAnsi="Courier New"/>
    </w:rPr>
  </w:style>
  <w:style w:type="paragraph" w:customStyle="1" w:styleId="NoteBullet">
    <w:name w:val="Note Bullet"/>
    <w:basedOn w:val="Note"/>
    <w:rsid w:val="008346CE"/>
    <w:pPr>
      <w:tabs>
        <w:tab w:val="clear" w:pos="680"/>
      </w:tabs>
      <w:spacing w:before="60" w:after="60"/>
    </w:pPr>
  </w:style>
  <w:style w:type="paragraph" w:customStyle="1" w:styleId="SubHeading2">
    <w:name w:val="SubHeading2"/>
    <w:basedOn w:val="HeadingBase"/>
    <w:rsid w:val="008346CE"/>
    <w:pPr>
      <w:spacing w:before="240" w:after="60"/>
    </w:pPr>
    <w:rPr>
      <w:sz w:val="20"/>
    </w:rPr>
  </w:style>
  <w:style w:type="paragraph" w:customStyle="1" w:styleId="SubHeading1">
    <w:name w:val="SubHeading1"/>
    <w:basedOn w:val="HeadingBase"/>
    <w:rsid w:val="008346CE"/>
    <w:pPr>
      <w:spacing w:before="240" w:after="60"/>
    </w:pPr>
    <w:rPr>
      <w:color w:val="918585"/>
      <w:sz w:val="22"/>
    </w:rPr>
  </w:style>
  <w:style w:type="paragraph" w:customStyle="1" w:styleId="SideHeading">
    <w:name w:val="Side Heading"/>
    <w:basedOn w:val="HeadingBase"/>
    <w:rsid w:val="00834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6CE"/>
    <w:pPr>
      <w:numPr>
        <w:numId w:val="10"/>
      </w:numPr>
    </w:pPr>
  </w:style>
  <w:style w:type="paragraph" w:styleId="PlainText">
    <w:name w:val="Plain Text"/>
    <w:basedOn w:val="Normal"/>
    <w:link w:val="PlainTextChar"/>
    <w:rsid w:val="008346CE"/>
    <w:rPr>
      <w:sz w:val="20"/>
    </w:rPr>
  </w:style>
  <w:style w:type="character" w:customStyle="1" w:styleId="PlainTextChar">
    <w:name w:val="Plain Text Char"/>
    <w:basedOn w:val="DefaultParagraphFont"/>
    <w:link w:val="PlainText"/>
    <w:rsid w:val="008346CE"/>
    <w:rPr>
      <w:rFonts w:ascii="Courier New" w:eastAsia="Times New Roman" w:hAnsi="Courier New" w:cs="Times New Roman"/>
      <w:sz w:val="20"/>
      <w:szCs w:val="20"/>
      <w:lang w:eastAsia="en-US"/>
    </w:rPr>
  </w:style>
  <w:style w:type="character" w:customStyle="1" w:styleId="MenuOption">
    <w:name w:val="Menu Option"/>
    <w:basedOn w:val="DefaultParagraphFont"/>
    <w:rsid w:val="008346CE"/>
    <w:rPr>
      <w:b/>
      <w:smallCaps/>
    </w:rPr>
  </w:style>
  <w:style w:type="paragraph" w:customStyle="1" w:styleId="TableListNumber">
    <w:name w:val="Table List Number"/>
    <w:basedOn w:val="ListNumber"/>
    <w:rsid w:val="008346CE"/>
    <w:pPr>
      <w:numPr>
        <w:numId w:val="0"/>
      </w:numPr>
    </w:pPr>
  </w:style>
  <w:style w:type="paragraph" w:styleId="TOC4">
    <w:name w:val="toc 4"/>
    <w:basedOn w:val="TOCBase"/>
    <w:next w:val="Normal"/>
    <w:semiHidden/>
    <w:rsid w:val="008346CE"/>
    <w:pPr>
      <w:tabs>
        <w:tab w:val="right" w:leader="dot" w:pos="9071"/>
      </w:tabs>
      <w:ind w:left="1701"/>
    </w:pPr>
  </w:style>
  <w:style w:type="paragraph" w:customStyle="1" w:styleId="ListAlpha">
    <w:name w:val="List Alpha"/>
    <w:basedOn w:val="List"/>
    <w:rsid w:val="008346CE"/>
    <w:pPr>
      <w:numPr>
        <w:numId w:val="8"/>
      </w:numPr>
    </w:pPr>
  </w:style>
  <w:style w:type="paragraph" w:customStyle="1" w:styleId="ListAlpha2">
    <w:name w:val="List Alpha 2"/>
    <w:basedOn w:val="List2"/>
    <w:rsid w:val="008346CE"/>
    <w:pPr>
      <w:numPr>
        <w:numId w:val="7"/>
      </w:numPr>
    </w:pPr>
  </w:style>
  <w:style w:type="paragraph" w:styleId="List2">
    <w:name w:val="List 2"/>
    <w:basedOn w:val="BodyText"/>
    <w:rsid w:val="008346CE"/>
    <w:pPr>
      <w:tabs>
        <w:tab w:val="left" w:pos="680"/>
      </w:tabs>
      <w:spacing w:before="60" w:after="60"/>
      <w:ind w:left="680" w:hanging="340"/>
    </w:pPr>
  </w:style>
  <w:style w:type="paragraph" w:styleId="List3">
    <w:name w:val="List 3"/>
    <w:basedOn w:val="BodyText"/>
    <w:rsid w:val="008346CE"/>
    <w:pPr>
      <w:tabs>
        <w:tab w:val="left" w:pos="1021"/>
      </w:tabs>
      <w:spacing w:before="60" w:after="60"/>
      <w:ind w:left="1020" w:hanging="340"/>
    </w:pPr>
  </w:style>
  <w:style w:type="paragraph" w:styleId="List4">
    <w:name w:val="List 4"/>
    <w:basedOn w:val="BodyText"/>
    <w:rsid w:val="008346CE"/>
    <w:pPr>
      <w:tabs>
        <w:tab w:val="left" w:pos="1361"/>
      </w:tabs>
      <w:spacing w:before="60" w:after="60"/>
      <w:ind w:left="1361" w:hanging="340"/>
    </w:pPr>
  </w:style>
  <w:style w:type="paragraph" w:styleId="List5">
    <w:name w:val="List 5"/>
    <w:basedOn w:val="BodyText"/>
    <w:rsid w:val="008346CE"/>
    <w:pPr>
      <w:tabs>
        <w:tab w:val="left" w:pos="1701"/>
      </w:tabs>
      <w:spacing w:before="60" w:after="60"/>
      <w:ind w:left="1701" w:hanging="340"/>
    </w:pPr>
  </w:style>
  <w:style w:type="paragraph" w:styleId="ListBullet3">
    <w:name w:val="List Bullet 3"/>
    <w:basedOn w:val="List3"/>
    <w:rsid w:val="008346CE"/>
    <w:pPr>
      <w:numPr>
        <w:numId w:val="13"/>
      </w:numPr>
      <w:tabs>
        <w:tab w:val="clear" w:pos="1021"/>
      </w:tabs>
      <w:ind w:left="1037" w:hanging="357"/>
    </w:pPr>
  </w:style>
  <w:style w:type="paragraph" w:styleId="ListBullet4">
    <w:name w:val="List Bullet 4"/>
    <w:basedOn w:val="List4"/>
    <w:rsid w:val="008346CE"/>
    <w:pPr>
      <w:numPr>
        <w:numId w:val="2"/>
      </w:numPr>
      <w:tabs>
        <w:tab w:val="clear" w:pos="1361"/>
      </w:tabs>
    </w:pPr>
  </w:style>
  <w:style w:type="paragraph" w:styleId="ListBullet5">
    <w:name w:val="List Bullet 5"/>
    <w:basedOn w:val="List5"/>
    <w:rsid w:val="008346CE"/>
    <w:pPr>
      <w:numPr>
        <w:numId w:val="3"/>
      </w:numPr>
    </w:pPr>
  </w:style>
  <w:style w:type="paragraph" w:styleId="ListContinue2">
    <w:name w:val="List Continue 2"/>
    <w:basedOn w:val="List2"/>
    <w:rsid w:val="008346CE"/>
    <w:pPr>
      <w:ind w:firstLine="0"/>
    </w:pPr>
  </w:style>
  <w:style w:type="paragraph" w:styleId="ListContinue3">
    <w:name w:val="List Continue 3"/>
    <w:basedOn w:val="List3"/>
    <w:rsid w:val="008346CE"/>
    <w:pPr>
      <w:ind w:left="1021" w:firstLine="0"/>
    </w:pPr>
  </w:style>
  <w:style w:type="paragraph" w:styleId="ListContinue4">
    <w:name w:val="List Continue 4"/>
    <w:basedOn w:val="List4"/>
    <w:rsid w:val="008346CE"/>
    <w:pPr>
      <w:ind w:firstLine="0"/>
    </w:pPr>
  </w:style>
  <w:style w:type="paragraph" w:styleId="ListContinue5">
    <w:name w:val="List Continue 5"/>
    <w:basedOn w:val="List5"/>
    <w:rsid w:val="008346CE"/>
    <w:pPr>
      <w:ind w:firstLine="0"/>
    </w:pPr>
  </w:style>
  <w:style w:type="paragraph" w:styleId="ListNumber3">
    <w:name w:val="List Number 3"/>
    <w:basedOn w:val="List3"/>
    <w:rsid w:val="008346CE"/>
    <w:pPr>
      <w:numPr>
        <w:numId w:val="4"/>
      </w:numPr>
    </w:pPr>
  </w:style>
  <w:style w:type="paragraph" w:styleId="ListNumber4">
    <w:name w:val="List Number 4"/>
    <w:basedOn w:val="List4"/>
    <w:rsid w:val="008346CE"/>
    <w:pPr>
      <w:numPr>
        <w:numId w:val="5"/>
      </w:numPr>
    </w:pPr>
  </w:style>
  <w:style w:type="paragraph" w:styleId="ListNumber5">
    <w:name w:val="List Number 5"/>
    <w:basedOn w:val="List5"/>
    <w:rsid w:val="008346CE"/>
    <w:pPr>
      <w:numPr>
        <w:numId w:val="6"/>
      </w:numPr>
    </w:pPr>
  </w:style>
  <w:style w:type="paragraph" w:styleId="BlockText">
    <w:name w:val="Block Text"/>
    <w:basedOn w:val="Normal"/>
    <w:rsid w:val="008346CE"/>
    <w:pPr>
      <w:spacing w:after="120"/>
      <w:ind w:left="1440" w:right="1440"/>
    </w:pPr>
  </w:style>
  <w:style w:type="character" w:customStyle="1" w:styleId="Subscript">
    <w:name w:val="Subscript"/>
    <w:basedOn w:val="DefaultParagraphFont"/>
    <w:rsid w:val="008346CE"/>
    <w:rPr>
      <w:sz w:val="16"/>
      <w:vertAlign w:val="subscript"/>
    </w:rPr>
  </w:style>
  <w:style w:type="character" w:customStyle="1" w:styleId="Superscript">
    <w:name w:val="Superscript"/>
    <w:basedOn w:val="DefaultParagraphFont"/>
    <w:rsid w:val="008346CE"/>
    <w:rPr>
      <w:sz w:val="16"/>
      <w:vertAlign w:val="superscript"/>
    </w:rPr>
  </w:style>
  <w:style w:type="character" w:customStyle="1" w:styleId="Symbols">
    <w:name w:val="Symbols"/>
    <w:basedOn w:val="DefaultParagraphFont"/>
    <w:rsid w:val="008346CE"/>
    <w:rPr>
      <w:rFonts w:ascii="Symbol" w:hAnsi="Symbol"/>
    </w:rPr>
  </w:style>
  <w:style w:type="character" w:customStyle="1" w:styleId="MenuOptions">
    <w:name w:val="Menu Options"/>
    <w:basedOn w:val="DefaultParagraphFont"/>
    <w:rsid w:val="008346CE"/>
    <w:rPr>
      <w:rFonts w:ascii="Arial Narrow" w:hAnsi="Arial Narrow"/>
      <w:smallCaps/>
    </w:rPr>
  </w:style>
  <w:style w:type="character" w:customStyle="1" w:styleId="Buttons">
    <w:name w:val="Buttons"/>
    <w:basedOn w:val="DefaultParagraphFont"/>
    <w:rsid w:val="008346CE"/>
    <w:rPr>
      <w:b/>
    </w:rPr>
  </w:style>
  <w:style w:type="character" w:customStyle="1" w:styleId="Underlined">
    <w:name w:val="Underlined"/>
    <w:basedOn w:val="DefaultParagraphFont"/>
    <w:rsid w:val="008346CE"/>
    <w:rPr>
      <w:u w:val="single"/>
    </w:rPr>
  </w:style>
  <w:style w:type="paragraph" w:customStyle="1" w:styleId="TableBodyTextRight">
    <w:name w:val="Table Body Text Right"/>
    <w:basedOn w:val="TableBodyText"/>
    <w:rsid w:val="008346CE"/>
    <w:pPr>
      <w:widowControl w:val="0"/>
      <w:autoSpaceDE w:val="0"/>
      <w:autoSpaceDN w:val="0"/>
      <w:adjustRightInd w:val="0"/>
      <w:jc w:val="right"/>
    </w:pPr>
    <w:rPr>
      <w:rFonts w:cs="Arial"/>
      <w:szCs w:val="18"/>
    </w:rPr>
  </w:style>
  <w:style w:type="paragraph" w:customStyle="1" w:styleId="CopyrightText">
    <w:name w:val="Copyright Text"/>
    <w:basedOn w:val="BodyText"/>
    <w:rsid w:val="008346CE"/>
    <w:rPr>
      <w:sz w:val="18"/>
    </w:rPr>
  </w:style>
  <w:style w:type="paragraph" w:customStyle="1" w:styleId="BodySmallRight">
    <w:name w:val="Body Small Right"/>
    <w:basedOn w:val="BodyTextRight"/>
    <w:rsid w:val="008346CE"/>
    <w:rPr>
      <w:sz w:val="18"/>
      <w:szCs w:val="18"/>
    </w:rPr>
  </w:style>
  <w:style w:type="paragraph" w:customStyle="1" w:styleId="MarginEdition">
    <w:name w:val="Margin Edition"/>
    <w:basedOn w:val="MarginNote"/>
    <w:rsid w:val="008346CE"/>
    <w:pPr>
      <w:spacing w:before="0" w:after="0"/>
    </w:pPr>
    <w:rPr>
      <w:rFonts w:ascii="Times New Roman" w:hAnsi="Times New Roman"/>
      <w:color w:val="999999"/>
    </w:rPr>
  </w:style>
  <w:style w:type="paragraph" w:customStyle="1" w:styleId="Spacer">
    <w:name w:val="Spacer"/>
    <w:basedOn w:val="Normal"/>
    <w:rsid w:val="008346CE"/>
    <w:rPr>
      <w:sz w:val="2"/>
      <w:szCs w:val="2"/>
    </w:rPr>
  </w:style>
  <w:style w:type="character" w:customStyle="1" w:styleId="Small">
    <w:name w:val="Small"/>
    <w:basedOn w:val="DefaultParagraphFont"/>
    <w:rsid w:val="008346CE"/>
    <w:rPr>
      <w:sz w:val="16"/>
    </w:rPr>
  </w:style>
  <w:style w:type="paragraph" w:customStyle="1" w:styleId="WideTable">
    <w:name w:val="Wide Table"/>
    <w:basedOn w:val="Normal"/>
    <w:rsid w:val="008346CE"/>
    <w:pPr>
      <w:ind w:left="-1418"/>
    </w:pPr>
    <w:rPr>
      <w:sz w:val="2"/>
      <w:szCs w:val="2"/>
    </w:rPr>
  </w:style>
  <w:style w:type="character" w:styleId="PageNumber">
    <w:name w:val="page number"/>
    <w:basedOn w:val="DefaultParagraphFont"/>
    <w:rsid w:val="008346CE"/>
  </w:style>
  <w:style w:type="paragraph" w:styleId="Quote">
    <w:name w:val="Quote"/>
    <w:basedOn w:val="Heading1"/>
    <w:link w:val="QuoteChar"/>
    <w:qFormat/>
    <w:rsid w:val="008346CE"/>
    <w:rPr>
      <w:b w:val="0"/>
      <w:sz w:val="72"/>
      <w:szCs w:val="72"/>
      <w:lang w:val="en-NZ"/>
    </w:rPr>
  </w:style>
  <w:style w:type="character" w:customStyle="1" w:styleId="QuoteChar">
    <w:name w:val="Quote Char"/>
    <w:basedOn w:val="DefaultParagraphFont"/>
    <w:link w:val="Quote"/>
    <w:rsid w:val="00834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6CE"/>
    <w:pPr>
      <w:pageBreakBefore/>
    </w:pPr>
  </w:style>
  <w:style w:type="paragraph" w:customStyle="1" w:styleId="Border">
    <w:name w:val="Border"/>
    <w:basedOn w:val="Normal"/>
    <w:qFormat/>
    <w:rsid w:val="00834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6CE"/>
    <w:rPr>
      <w:b/>
      <w:bCs/>
      <w:i/>
      <w:iCs/>
      <w:color w:val="auto"/>
    </w:rPr>
  </w:style>
  <w:style w:type="paragraph" w:styleId="IntenseQuote">
    <w:name w:val="Intense Quote"/>
    <w:basedOn w:val="Normal"/>
    <w:next w:val="Normal"/>
    <w:link w:val="IntenseQuoteChar"/>
    <w:uiPriority w:val="30"/>
    <w:qFormat/>
    <w:rsid w:val="00834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6CE"/>
    <w:rPr>
      <w:smallCaps/>
      <w:color w:val="auto"/>
      <w:u w:val="single"/>
    </w:rPr>
  </w:style>
  <w:style w:type="character" w:styleId="IntenseReference">
    <w:name w:val="Intense Reference"/>
    <w:basedOn w:val="DefaultParagraphFont"/>
    <w:uiPriority w:val="32"/>
    <w:qFormat/>
    <w:rsid w:val="008346CE"/>
    <w:rPr>
      <w:b/>
      <w:bCs/>
      <w:smallCaps/>
      <w:color w:val="auto"/>
      <w:spacing w:val="5"/>
      <w:u w:val="single"/>
    </w:rPr>
  </w:style>
  <w:style w:type="paragraph" w:customStyle="1" w:styleId="2ColumnHeading">
    <w:name w:val="2Column Heading"/>
    <w:basedOn w:val="BodyText"/>
    <w:qFormat/>
    <w:rsid w:val="008346CE"/>
    <w:pPr>
      <w:spacing w:after="60"/>
      <w:ind w:left="-2268"/>
    </w:pPr>
    <w:rPr>
      <w:b/>
    </w:rPr>
  </w:style>
  <w:style w:type="paragraph" w:customStyle="1" w:styleId="Heading1TOC">
    <w:name w:val="Heading1 TOC"/>
    <w:basedOn w:val="Normal"/>
    <w:qFormat/>
    <w:rsid w:val="008346CE"/>
    <w:pPr>
      <w:spacing w:before="240" w:after="120"/>
    </w:pPr>
    <w:rPr>
      <w:rFonts w:ascii="Times New Roman" w:hAnsi="Times New Roman"/>
      <w:b/>
      <w:sz w:val="32"/>
    </w:rPr>
  </w:style>
  <w:style w:type="paragraph" w:customStyle="1" w:styleId="Heading2TOC">
    <w:name w:val="Heading2 TOC"/>
    <w:basedOn w:val="Normal"/>
    <w:qFormat/>
    <w:rsid w:val="008346CE"/>
    <w:pPr>
      <w:spacing w:before="240" w:after="60"/>
    </w:pPr>
    <w:rPr>
      <w:rFonts w:ascii="Times New Roman" w:hAnsi="Times New Roman"/>
      <w:b/>
      <w:sz w:val="28"/>
    </w:rPr>
  </w:style>
  <w:style w:type="character" w:customStyle="1" w:styleId="Underline">
    <w:name w:val="Underline"/>
    <w:basedOn w:val="DefaultParagraphFont"/>
    <w:qFormat/>
    <w:rsid w:val="008346CE"/>
    <w:rPr>
      <w:u w:val="single"/>
    </w:rPr>
  </w:style>
  <w:style w:type="character" w:customStyle="1" w:styleId="BoldandItalics">
    <w:name w:val="Bold and Italics"/>
    <w:qFormat/>
    <w:rsid w:val="008346CE"/>
    <w:rPr>
      <w:b/>
      <w:i/>
      <w:u w:val="none"/>
    </w:rPr>
  </w:style>
  <w:style w:type="paragraph" w:styleId="BalloonText">
    <w:name w:val="Balloon Text"/>
    <w:basedOn w:val="Normal"/>
    <w:link w:val="BalloonTextChar"/>
    <w:rsid w:val="008346CE"/>
    <w:rPr>
      <w:rFonts w:ascii="Tahoma" w:hAnsi="Tahoma" w:cs="Tahoma"/>
      <w:sz w:val="16"/>
      <w:szCs w:val="16"/>
    </w:rPr>
  </w:style>
  <w:style w:type="character" w:customStyle="1" w:styleId="BalloonTextChar">
    <w:name w:val="Balloon Text Char"/>
    <w:basedOn w:val="DefaultParagraphFont"/>
    <w:link w:val="BalloonText"/>
    <w:rsid w:val="00834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6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6CE"/>
    <w:rPr>
      <w:b/>
      <w:color w:val="660033"/>
      <w:spacing w:val="0"/>
    </w:rPr>
  </w:style>
  <w:style w:type="paragraph" w:customStyle="1" w:styleId="Nameditemlist">
    <w:name w:val="Named item list"/>
    <w:basedOn w:val="BodyText"/>
    <w:qFormat/>
    <w:rsid w:val="008346CE"/>
    <w:pPr>
      <w:tabs>
        <w:tab w:val="left" w:pos="2835"/>
      </w:tabs>
      <w:ind w:left="2835" w:hanging="2835"/>
    </w:pPr>
  </w:style>
  <w:style w:type="paragraph" w:customStyle="1" w:styleId="BodyTextnopadding">
    <w:name w:val="Body Text no padding"/>
    <w:basedOn w:val="BodyText"/>
    <w:qFormat/>
    <w:rsid w:val="008346CE"/>
    <w:pPr>
      <w:spacing w:before="0" w:after="0"/>
    </w:pPr>
  </w:style>
  <w:style w:type="paragraph" w:customStyle="1" w:styleId="BodyTextBold">
    <w:name w:val="Body Text Bold"/>
    <w:basedOn w:val="BodyText"/>
    <w:qFormat/>
    <w:rsid w:val="008346CE"/>
    <w:rPr>
      <w:b/>
    </w:rPr>
  </w:style>
  <w:style w:type="character" w:styleId="Hyperlink">
    <w:name w:val="Hyperlink"/>
    <w:basedOn w:val="DefaultParagraphFont"/>
    <w:uiPriority w:val="99"/>
    <w:unhideWhenUsed/>
    <w:rsid w:val="000F6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6547</Characters>
  <Application>Microsoft Office Word</Application>
  <DocSecurity>0</DocSecurity>
  <Lines>198</Lines>
  <Paragraphs>134</Paragraphs>
  <ScaleCrop>false</ScaleCrop>
  <Company>Author-it Software Corporation Ltd.</Company>
  <LinksUpToDate>false</LinksUpToDate>
  <CharactersWithSpaces>7398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MEM234035 Maintain and apply technical and engineering skills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