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CD4" w:rsidP="00F44CD4">
      <w:pPr>
        <w:pStyle w:val="Title"/>
      </w:pPr>
      <w:r>
        <w:fldChar w:fldCharType="begin"/>
      </w:r>
      <w:r>
        <w:instrText xml:space="preserve"> TITLE   \* MERGEFORMAT </w:instrText>
      </w:r>
      <w:r>
        <w:fldChar w:fldCharType="separate"/>
      </w:r>
      <w:r>
        <w:t>MEM234030 Provide specialised technical and engineering guidance to other technical employees</w:t>
      </w:r>
      <w:r>
        <w:fldChar w:fldCharType="end"/>
      </w:r>
    </w:p>
    <w:p w:rsidR="00F44CD4" w:rsidP="00F44CD4">
      <w:pPr>
        <w:pStyle w:val="Version"/>
        <w:sectPr w:rsidSect="007E58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886" w:rsidP="007E5886">
      <w:pPr>
        <w:pStyle w:val="SuperHeading"/>
      </w:pPr>
      <w:r w:rsidRPr="007E5886">
        <w:t>MEM234030 Provide specialised technical and engineering guidance to other technical employees</w:t>
      </w:r>
    </w:p>
    <w:p w:rsidR="00000000" w:rsidRPr="007E5886" w:rsidP="007E5886">
      <w:pPr>
        <w:pStyle w:val="Heading1"/>
      </w:pPr>
      <w:bookmarkStart w:id="1" w:name="O_945316"/>
      <w:bookmarkEnd w:id="1"/>
      <w:r w:rsidRPr="007E5886">
        <w:t>Modification History</w:t>
      </w:r>
    </w:p>
    <w:p w:rsidR="00000000" w:rsidRPr="007E5886" w:rsidP="00F44CD4">
      <w:pPr>
        <w:pStyle w:val="BodyText"/>
      </w:pPr>
      <w:r w:rsidRPr="007E5886">
        <w:t>Release 1. Supersedes and is equivalent to MEM2</w:t>
      </w:r>
      <w:r w:rsidRPr="007E5886">
        <w:t>34030A Provide specialised technical and engineering guidance to other technical employees.</w:t>
      </w:r>
    </w:p>
    <w:p w:rsidR="00000000" w:rsidRPr="007E5886" w:rsidP="007E5886">
      <w:pPr>
        <w:pStyle w:val="Heading1"/>
      </w:pPr>
      <w:bookmarkStart w:id="2" w:name="O_945324"/>
      <w:bookmarkEnd w:id="2"/>
      <w:r w:rsidRPr="007E5886">
        <w:t>Application</w:t>
      </w:r>
    </w:p>
    <w:p w:rsidR="00000000" w:rsidRPr="007E5886" w:rsidP="00F44CD4">
      <w:pPr>
        <w:pStyle w:val="BodyText"/>
      </w:pPr>
      <w:r w:rsidRPr="007E5886">
        <w:t xml:space="preserve">This unit of competency defines the skills and knowledge required to provide technical advice, including mentoring, to other technical </w:t>
      </w:r>
      <w:r w:rsidRPr="007E5886">
        <w:t>and paraprofessional employees, usually but not always, working in the same technical field or discipline.</w:t>
      </w:r>
    </w:p>
    <w:p w:rsidR="00000000" w:rsidRPr="007E5886" w:rsidP="00F44CD4">
      <w:pPr>
        <w:pStyle w:val="BodyText"/>
      </w:pPr>
      <w:r w:rsidRPr="007E5886">
        <w:t>It applies across all forms of manufacturing and engineering where an individual is using their professional skills and knowledge to provide engineer</w:t>
      </w:r>
      <w:r w:rsidRPr="007E5886">
        <w:t>ing and technical guidance to other technical employees within the organisation. Examples of technical guidance situations include acting as a technical resource person to other technical employees or teams or mentoring of other technical employees because</w:t>
      </w:r>
      <w:r w:rsidRPr="007E5886">
        <w:t xml:space="preserve"> of specialised skill and knowledge.</w:t>
      </w:r>
    </w:p>
    <w:p w:rsidR="00000000" w:rsidRPr="007E5886" w:rsidP="00F44CD4">
      <w:pPr>
        <w:pStyle w:val="BodyText"/>
      </w:pPr>
      <w:r w:rsidRPr="007E5886">
        <w:t>The emphasis in this unit is on the provision of technical advice usually as part of day-to-day operations where the person is not in a formally designated managerial or leadership role. The unit assumes technical compe</w:t>
      </w:r>
      <w:r w:rsidRPr="007E5886">
        <w:t>tence to Advanced Diploma of Engineering level or equivalent industrial experience.</w:t>
      </w:r>
    </w:p>
    <w:p w:rsidR="00000000" w:rsidRPr="007E5886" w:rsidP="00F44CD4">
      <w:pPr>
        <w:pStyle w:val="BodyText"/>
      </w:pPr>
      <w:r w:rsidRPr="007E5886">
        <w:t xml:space="preserve">Where formal leadership and management of engineering and related projects or operations applies, unit MEM234001 Plan and manage engineering-related projects or operations </w:t>
      </w:r>
      <w:r w:rsidRPr="007E5886">
        <w:t>should also be selected.</w:t>
      </w:r>
    </w:p>
    <w:p w:rsidR="00000000" w:rsidRPr="007E5886" w:rsidP="00F44CD4">
      <w:pPr>
        <w:pStyle w:val="BodyText"/>
      </w:pPr>
      <w:r w:rsidRPr="007E5886">
        <w:t>Where the management of the installation, commissioning or modification of machines or equipment is required, unit MEM234031 Manage installation, commissioning or modification of machines and equipment should also be selected.</w:t>
      </w:r>
    </w:p>
    <w:p w:rsidR="00000000" w:rsidRPr="007E5886" w:rsidP="00F44CD4">
      <w:pPr>
        <w:pStyle w:val="BodyText"/>
      </w:pPr>
      <w:r w:rsidRPr="007E5886">
        <w:t>Wher</w:t>
      </w:r>
      <w:r w:rsidRPr="007E5886">
        <w:t>e the management of fluid power technologies is required, unit MEM234032 Manage fluid power related technologies in an organisation should also be selected.</w:t>
      </w:r>
    </w:p>
    <w:p w:rsidR="00000000" w:rsidRPr="007E5886" w:rsidP="00F44CD4">
      <w:pPr>
        <w:pStyle w:val="BodyText"/>
      </w:pPr>
      <w:r w:rsidRPr="007E5886">
        <w:t>Where leading engineering-related quality operations is required, unit MEM234033 Lead engineering-r</w:t>
      </w:r>
      <w:r w:rsidRPr="007E5886">
        <w:t>elated quality operations in an organisation should also be selected.</w:t>
      </w:r>
    </w:p>
    <w:p w:rsidR="00000000" w:rsidRPr="007E5886" w:rsidP="00F44CD4">
      <w:pPr>
        <w:pStyle w:val="BodyText"/>
      </w:pPr>
      <w:r w:rsidRPr="007E5886">
        <w:t>This unit does not cover the giving of general advice associated with conditions of employment including career planning and wages.</w:t>
      </w:r>
    </w:p>
    <w:p w:rsidR="00000000" w:rsidRPr="007E5886" w:rsidP="00F44CD4">
      <w:pPr>
        <w:pStyle w:val="BodyText"/>
      </w:pPr>
      <w:r w:rsidRPr="007E5886">
        <w:t>No licensing, legislative or certification requirement</w:t>
      </w:r>
      <w:r w:rsidRPr="007E5886">
        <w:t>s apply to this unit at the time of publication.</w:t>
      </w:r>
    </w:p>
    <w:p w:rsidR="00000000" w:rsidRPr="007E5886" w:rsidP="007E5886">
      <w:pPr>
        <w:pStyle w:val="Heading1"/>
      </w:pPr>
      <w:bookmarkStart w:id="3" w:name="O_945323"/>
      <w:bookmarkEnd w:id="3"/>
      <w:r w:rsidRPr="007E5886">
        <w:t>Pre-requisite Unit</w:t>
      </w:r>
    </w:p>
    <w:p w:rsidR="00000000" w:rsidRPr="007E5886" w:rsidP="00F44CD4">
      <w:pPr>
        <w:pStyle w:val="BodyText"/>
      </w:pPr>
      <w:r w:rsidRPr="007E5886">
        <w:t>Nil</w:t>
      </w:r>
    </w:p>
    <w:p w:rsidR="00000000" w:rsidRPr="007E5886" w:rsidP="007E5886">
      <w:pPr>
        <w:pStyle w:val="Heading1"/>
      </w:pPr>
      <w:bookmarkStart w:id="4" w:name="O_945322"/>
      <w:bookmarkEnd w:id="4"/>
      <w:r w:rsidRPr="007E5886">
        <w:t>Competency Field</w:t>
      </w:r>
    </w:p>
    <w:p w:rsidR="00000000" w:rsidRPr="007E5886" w:rsidP="00F44CD4">
      <w:pPr>
        <w:pStyle w:val="BodyText"/>
      </w:pPr>
      <w:r w:rsidRPr="007E5886">
        <w:t>Engineering science</w:t>
      </w:r>
    </w:p>
    <w:p w:rsidR="00000000" w:rsidRPr="007E5886" w:rsidP="007E5886">
      <w:pPr>
        <w:pStyle w:val="Heading1"/>
      </w:pPr>
      <w:bookmarkStart w:id="5" w:name="O_945320"/>
      <w:bookmarkEnd w:id="5"/>
      <w:r w:rsidRPr="007E5886">
        <w:t>Elements and Performance Criteria</w:t>
      </w:r>
    </w:p>
    <w:tbl>
      <w:tblPr>
        <w:tblW w:w="9639" w:type="dxa"/>
        <w:tblLayout w:type="fixed"/>
        <w:tblCellMar>
          <w:left w:w="62" w:type="dxa"/>
          <w:right w:w="62" w:type="dxa"/>
        </w:tblCellMar>
        <w:tblLook w:val="0000"/>
      </w:tblPr>
      <w:tblGrid>
        <w:gridCol w:w="2531"/>
        <w:gridCol w:w="7108"/>
      </w:tblGrid>
      <w:tr w:rsidTr="00F44CD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5886" w:rsidP="007E5886">
            <w:pPr>
              <w:pStyle w:val="BodyText"/>
            </w:pPr>
            <w:r w:rsidRPr="007E588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5886">
            <w:pPr>
              <w:pStyle w:val="BodyText"/>
              <w:rPr>
                <w:lang w:val="en-NZ"/>
              </w:rPr>
            </w:pPr>
            <w:r w:rsidRPr="007E5886">
              <w:rPr>
                <w:rStyle w:val="SpecialBold"/>
              </w:rPr>
              <w:t>Performance Criteria</w:t>
            </w:r>
          </w:p>
        </w:tc>
      </w:tr>
      <w:tr w:rsidTr="00F44CD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BodyText"/>
            </w:pPr>
            <w:r w:rsidRPr="007E5886">
              <w:rPr>
                <w:rStyle w:val="Emphasis"/>
              </w:rPr>
              <w:t xml:space="preserve">Elements describe the </w:t>
            </w:r>
            <w:r w:rsidRPr="007E5886">
              <w:t xml:space="preserve">essential </w:t>
            </w:r>
            <w:r w:rsidRPr="007E588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rPr>
                <w:rStyle w:val="Emphasis"/>
              </w:rPr>
              <w:t>Performance criteria describe the performance needed to demonstrate achievement of the element.</w:t>
            </w:r>
          </w:p>
        </w:tc>
      </w:tr>
      <w:tr w:rsidTr="00F44CD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1. Respond to requests for technical advice or assistance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BodyText"/>
            </w:pPr>
            <w:r w:rsidRPr="007E5886">
              <w:t>1.1 Confirm that request for assistance is of an engineering nature and the engin</w:t>
            </w:r>
            <w:r w:rsidRPr="007E5886">
              <w:t>eering-related outcomes required</w:t>
            </w:r>
          </w:p>
          <w:p w:rsidR="00000000" w:rsidRPr="007E5886" w:rsidP="007E5886">
            <w:pPr>
              <w:pStyle w:val="BodyText"/>
            </w:pPr>
            <w:r w:rsidRPr="007E5886">
              <w:t>1.2 Identify extent of engineering information currently known</w:t>
            </w:r>
          </w:p>
          <w:p w:rsidR="00000000" w:rsidRPr="007E5886" w:rsidP="007E5886">
            <w:pPr>
              <w:pStyle w:val="BodyText"/>
            </w:pPr>
            <w:r w:rsidRPr="007E5886">
              <w:t>1.3 Define issue or problem in engineering-related terms</w:t>
            </w:r>
          </w:p>
          <w:p w:rsidR="00000000" w:rsidRPr="007E5886" w:rsidP="007E5886">
            <w:pPr>
              <w:pStyle w:val="BodyText"/>
            </w:pPr>
            <w:r w:rsidRPr="007E5886">
              <w:t>1.4 Identify whether request is within own discipline and skills and knowledge or should be referred to</w:t>
            </w:r>
            <w:r w:rsidRPr="007E5886">
              <w:t xml:space="preserve"> other expert technical or professional assistance</w:t>
            </w:r>
          </w:p>
          <w:p w:rsidR="00000000" w:rsidRPr="007E5886" w:rsidP="007E5886">
            <w:pPr>
              <w:pStyle w:val="BodyText"/>
            </w:pPr>
            <w:r w:rsidRPr="007E5886">
              <w:t>1.5 Assist individuals or technical team to identify stakeholders to engineering issues and practice in the organisation</w:t>
            </w:r>
          </w:p>
          <w:p w:rsidR="00000000" w:rsidRPr="007E5886" w:rsidP="007E5886">
            <w:pPr>
              <w:pStyle w:val="BodyText"/>
            </w:pPr>
            <w:r w:rsidRPr="007E5886">
              <w:t>1.6 Assist individuals or team to identify constraints and solution steps</w:t>
            </w:r>
          </w:p>
          <w:p w:rsidR="00000000" w:rsidP="007E5886">
            <w:pPr>
              <w:pStyle w:val="BodyText"/>
              <w:rPr>
                <w:lang w:val="en-NZ"/>
              </w:rPr>
            </w:pPr>
            <w:r w:rsidRPr="007E5886">
              <w:t>1.7 Verify</w:t>
            </w:r>
            <w:r w:rsidRPr="007E5886">
              <w:t xml:space="preserve"> solution</w:t>
            </w:r>
          </w:p>
        </w:tc>
      </w:tr>
      <w:tr w:rsidTr="00F44CD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2. Identify other situations where current practice may be inadequate within the department or team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BodyText"/>
            </w:pPr>
            <w:r w:rsidRPr="007E5886">
              <w:t>2.1 Identify technical, engineering or sustainability-related risk factors in workplace</w:t>
            </w:r>
          </w:p>
          <w:p w:rsidR="00000000" w:rsidRPr="007E5886" w:rsidP="007E5886">
            <w:pPr>
              <w:pStyle w:val="BodyText"/>
            </w:pPr>
            <w:r w:rsidRPr="007E5886">
              <w:t>2.2 Identifies risks associated with professional and ethical practice, work health and safety (WHS) and other statutory responsibilities and liabilities</w:t>
            </w:r>
          </w:p>
          <w:p w:rsidR="00000000" w:rsidRPr="007E5886" w:rsidP="007E5886">
            <w:pPr>
              <w:pStyle w:val="BodyText"/>
            </w:pPr>
            <w:r w:rsidRPr="007E5886">
              <w:t>2.3 Identify risk situations without adequate preventative and contingency planning</w:t>
            </w:r>
          </w:p>
          <w:p w:rsidR="00000000" w:rsidRPr="007E5886" w:rsidP="007E5886">
            <w:pPr>
              <w:pStyle w:val="BodyText"/>
            </w:pPr>
            <w:r w:rsidRPr="007E5886">
              <w:t>2.4 Identify techn</w:t>
            </w:r>
            <w:r w:rsidRPr="007E5886">
              <w:t>ical individuals or teams responsible for management of risks without adequate preventative and contingency planning</w:t>
            </w:r>
          </w:p>
          <w:p w:rsidR="00000000" w:rsidRPr="007E5886" w:rsidP="007E5886">
            <w:pPr>
              <w:pStyle w:val="BodyText"/>
            </w:pPr>
            <w:r w:rsidRPr="007E5886">
              <w:t>2.5 Offer assistance and advice to resolve inadequacy in accordance with organisational procedures</w:t>
            </w:r>
          </w:p>
        </w:tc>
      </w:tr>
    </w:tbl>
    <w:p w:rsidR="00000000" w:rsidRPr="007E5886" w:rsidP="007E5886">
      <w:pPr>
        <w:pStyle w:val="BodyText"/>
      </w:pPr>
    </w:p>
    <w:p w:rsidR="00000000" w:rsidRPr="007E5886" w:rsidP="007E5886">
      <w:pPr>
        <w:pStyle w:val="AllowPageBreak"/>
      </w:pPr>
    </w:p>
    <w:p w:rsidR="00000000" w:rsidRPr="007E5886" w:rsidP="007E5886">
      <w:pPr>
        <w:pStyle w:val="Heading1"/>
      </w:pPr>
      <w:bookmarkStart w:id="6" w:name="O_945319"/>
      <w:bookmarkEnd w:id="6"/>
      <w:r w:rsidRPr="007E5886">
        <w:t>Foundation Skills</w:t>
      </w:r>
    </w:p>
    <w:p w:rsidR="00000000" w:rsidRPr="007E5886" w:rsidP="00F44CD4">
      <w:pPr>
        <w:pStyle w:val="BodyText"/>
      </w:pPr>
      <w:r w:rsidRPr="007E5886">
        <w:t>Thi</w:t>
      </w:r>
      <w:r w:rsidRPr="007E5886">
        <w:t>s section describes those language, literacy, numeracy and employment skills that are essential to performance.</w:t>
      </w:r>
    </w:p>
    <w:p w:rsidR="00000000" w:rsidRPr="007E5886" w:rsidP="00F44CD4">
      <w:pPr>
        <w:pStyle w:val="BodyText"/>
      </w:pPr>
      <w:r w:rsidRPr="007E5886">
        <w:t>Foundation skills essential to performance are explicit in the performance criteria of this unit of competency.</w:t>
      </w:r>
    </w:p>
    <w:p w:rsidR="00000000" w:rsidRPr="007E5886" w:rsidP="007E5886">
      <w:pPr>
        <w:pStyle w:val="Heading1"/>
      </w:pPr>
      <w:bookmarkStart w:id="7" w:name="O_945318"/>
      <w:bookmarkEnd w:id="7"/>
      <w:r w:rsidRPr="007E5886">
        <w:t>Range of Condit</w:t>
      </w:r>
      <w:r w:rsidRPr="007E5886">
        <w:t>ions</w:t>
      </w:r>
    </w:p>
    <w:tbl>
      <w:tblPr>
        <w:tblW w:w="9638" w:type="dxa"/>
        <w:tblLayout w:type="fixed"/>
        <w:tblCellMar>
          <w:left w:w="62" w:type="dxa"/>
          <w:right w:w="62" w:type="dxa"/>
        </w:tblCellMar>
        <w:tblLook w:val="0000"/>
      </w:tblPr>
      <w:tblGrid>
        <w:gridCol w:w="2758"/>
        <w:gridCol w:w="6880"/>
      </w:tblGrid>
      <w:tr w:rsidTr="007E588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This field allows for different work environments and conditions that may affect performance. Essential operating conditions that may be present (depending on the work situation, needs of the candidate, accessibility of the item, and local industry a</w:t>
            </w:r>
            <w:r w:rsidRPr="007E5886">
              <w:t>nd regional contexts) are included.</w:t>
            </w:r>
          </w:p>
        </w:tc>
      </w:tr>
      <w:tr w:rsidTr="007E588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Expert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ListBullet"/>
            </w:pPr>
            <w:r w:rsidRPr="007E5886">
              <w:t xml:space="preserve">technical support and advice relating to elements which have intrinsic dangers </w:t>
            </w:r>
          </w:p>
          <w:p w:rsidR="00000000" w:rsidRPr="007E5886" w:rsidP="007E5886">
            <w:pPr>
              <w:pStyle w:val="ListBullet"/>
            </w:pPr>
            <w:r w:rsidRPr="007E5886">
              <w:t>professional support for technologies</w:t>
            </w:r>
          </w:p>
          <w:p w:rsidR="00000000" w:rsidRPr="007E5886" w:rsidP="007E5886">
            <w:pPr>
              <w:pStyle w:val="ListBullet"/>
            </w:pPr>
            <w:r w:rsidRPr="007E5886">
              <w:t>professional advice on issues that can overlap with:</w:t>
            </w:r>
          </w:p>
          <w:p w:rsidR="00000000" w:rsidRPr="007E5886" w:rsidP="007E5886">
            <w:pPr>
              <w:pStyle w:val="ListBullet"/>
            </w:pPr>
            <w:r w:rsidRPr="007E5886">
              <w:t>finance, accounts and tax</w:t>
            </w:r>
          </w:p>
          <w:p w:rsidR="00000000" w:rsidRPr="007E5886" w:rsidP="007E5886">
            <w:pPr>
              <w:pStyle w:val="ListBullet"/>
            </w:pPr>
            <w:r w:rsidRPr="007E5886">
              <w:t>insurance and legal</w:t>
            </w:r>
          </w:p>
          <w:p w:rsidR="00000000" w:rsidP="007E5886">
            <w:pPr>
              <w:pStyle w:val="ListBullet"/>
              <w:rPr>
                <w:lang w:val="en-NZ"/>
              </w:rPr>
            </w:pPr>
            <w:r w:rsidRPr="007E5886">
              <w:t>training and HR.</w:t>
            </w:r>
          </w:p>
        </w:tc>
      </w:tr>
      <w:tr w:rsidTr="007E588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WHS requirements, codes of practice, regulations, standards and other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ListBullet"/>
            </w:pPr>
            <w:r w:rsidRPr="007E5886">
              <w:t>WHS a</w:t>
            </w:r>
            <w:r w:rsidRPr="007E5886">
              <w:t>cts, regulations and relevant standards</w:t>
            </w:r>
          </w:p>
          <w:p w:rsidR="00000000" w:rsidRPr="007E5886" w:rsidP="007E5886">
            <w:pPr>
              <w:pStyle w:val="ListBullet"/>
            </w:pPr>
            <w:r w:rsidRPr="007E5886">
              <w:t>industry codes of practice</w:t>
            </w:r>
          </w:p>
          <w:p w:rsidR="00000000" w:rsidRPr="007E5886" w:rsidP="007E5886">
            <w:pPr>
              <w:pStyle w:val="ListBullet"/>
            </w:pPr>
            <w:r w:rsidRPr="007E5886">
              <w:t>risk assessments</w:t>
            </w:r>
          </w:p>
          <w:p w:rsidR="00000000" w:rsidRPr="007E5886" w:rsidP="007E5886">
            <w:pPr>
              <w:pStyle w:val="ListBullet"/>
            </w:pPr>
            <w:r w:rsidRPr="007E5886">
              <w:t xml:space="preserve">registration requirements </w:t>
            </w:r>
          </w:p>
          <w:p w:rsidR="00000000" w:rsidRPr="007E5886" w:rsidP="007E5886">
            <w:pPr>
              <w:pStyle w:val="ListBullet"/>
            </w:pPr>
            <w:r w:rsidRPr="007E5886">
              <w:t>safe work practices</w:t>
            </w:r>
          </w:p>
          <w:p w:rsidR="00000000" w:rsidP="007E5886">
            <w:pPr>
              <w:pStyle w:val="ListBullet"/>
              <w:rPr>
                <w:lang w:val="en-NZ"/>
              </w:rPr>
            </w:pPr>
            <w:r w:rsidRPr="007E5886">
              <w:t>state and territory regulatory requirements.</w:t>
            </w:r>
          </w:p>
        </w:tc>
      </w:tr>
      <w:tr w:rsidTr="007E588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Legislative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ListBullet"/>
            </w:pPr>
            <w:r w:rsidRPr="007E5886">
              <w:t>industrial law and awards</w:t>
            </w:r>
          </w:p>
          <w:p w:rsidR="00000000" w:rsidRPr="007E5886" w:rsidP="007E5886">
            <w:pPr>
              <w:pStyle w:val="ListBullet"/>
            </w:pPr>
            <w:r w:rsidRPr="007E5886">
              <w:t>consumer protection law</w:t>
            </w:r>
          </w:p>
          <w:p w:rsidR="00000000" w:rsidRPr="007E5886" w:rsidP="007E5886">
            <w:pPr>
              <w:pStyle w:val="ListBullet"/>
            </w:pPr>
            <w:r w:rsidRPr="007E5886">
              <w:t>restrictive trade practice</w:t>
            </w:r>
          </w:p>
          <w:p w:rsidR="00000000" w:rsidRPr="007E5886" w:rsidP="007E5886">
            <w:pPr>
              <w:pStyle w:val="ListBullet"/>
            </w:pPr>
            <w:r w:rsidRPr="007E5886">
              <w:t>environmental protection</w:t>
            </w:r>
          </w:p>
          <w:p w:rsidR="00000000" w:rsidRPr="007E5886" w:rsidP="007E5886">
            <w:pPr>
              <w:pStyle w:val="ListBullet"/>
            </w:pPr>
            <w:r w:rsidRPr="007E5886">
              <w:t>workers compensation</w:t>
            </w:r>
          </w:p>
          <w:p w:rsidR="00000000" w:rsidRPr="007E5886" w:rsidP="007E5886">
            <w:pPr>
              <w:pStyle w:val="ListBullet"/>
            </w:pPr>
            <w:r w:rsidRPr="007E5886">
              <w:t>equality and antidiscrimination</w:t>
            </w:r>
          </w:p>
          <w:p w:rsidR="00000000" w:rsidP="007E5886">
            <w:pPr>
              <w:pStyle w:val="ListBullet"/>
              <w:rPr>
                <w:lang w:val="en-NZ"/>
              </w:rPr>
            </w:pPr>
            <w:r w:rsidRPr="007E5886">
              <w:t>contract law.</w:t>
            </w:r>
          </w:p>
        </w:tc>
      </w:tr>
      <w:tr w:rsidTr="007E588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Sustainability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ListBullet"/>
            </w:pPr>
            <w:r w:rsidRPr="007E5886">
              <w:t>consideration of economic, social, ecological and resources implications of activities</w:t>
            </w:r>
          </w:p>
          <w:p w:rsidR="00000000" w:rsidRPr="007E5886" w:rsidP="007E5886">
            <w:pPr>
              <w:pStyle w:val="ListBullet"/>
            </w:pPr>
            <w:r w:rsidRPr="007E5886">
              <w:t>resources and energy:</w:t>
            </w:r>
          </w:p>
          <w:p w:rsidR="00000000" w:rsidRPr="007E5886" w:rsidP="007E5886">
            <w:pPr>
              <w:pStyle w:val="ListBullet"/>
            </w:pPr>
            <w:r w:rsidRPr="007E5886">
              <w:t>sources, access, processing and consumption</w:t>
            </w:r>
          </w:p>
          <w:p w:rsidR="00000000" w:rsidRPr="007E5886" w:rsidP="007E5886">
            <w:pPr>
              <w:pStyle w:val="ListBullet"/>
            </w:pPr>
            <w:r w:rsidRPr="007E5886">
              <w:t>food security and agriculture, health, education and shelter</w:t>
            </w:r>
          </w:p>
          <w:p w:rsidR="00000000" w:rsidRPr="007E5886" w:rsidP="007E5886">
            <w:pPr>
              <w:pStyle w:val="ListBullet"/>
            </w:pPr>
            <w:r w:rsidRPr="007E5886">
              <w:t>land, energy and water</w:t>
            </w:r>
          </w:p>
          <w:p w:rsidR="00000000" w:rsidRPr="007E5886" w:rsidP="007E5886">
            <w:pPr>
              <w:pStyle w:val="ListBullet"/>
            </w:pPr>
            <w:r w:rsidRPr="007E5886">
              <w:t>social and economic</w:t>
            </w:r>
            <w:r w:rsidRPr="007E5886">
              <w:t xml:space="preserve"> factors affecting design of machines and equipment</w:t>
            </w:r>
          </w:p>
          <w:p w:rsidR="00000000" w:rsidRPr="007E5886" w:rsidP="007E5886">
            <w:pPr>
              <w:pStyle w:val="ListBullet"/>
            </w:pPr>
            <w:r w:rsidRPr="007E5886">
              <w:t>life cycle design of product (manufacture to re-manufacture or recycle)</w:t>
            </w:r>
          </w:p>
          <w:p w:rsidR="00000000" w:rsidRPr="007E5886" w:rsidP="007E5886">
            <w:pPr>
              <w:pStyle w:val="ListBullet"/>
            </w:pPr>
            <w:r w:rsidRPr="007E5886">
              <w:t>raw material, solids and hazardous waste, and production by-products</w:t>
            </w:r>
          </w:p>
          <w:p w:rsidR="00000000" w:rsidRPr="007E5886" w:rsidP="007E5886">
            <w:pPr>
              <w:pStyle w:val="ListBullet"/>
            </w:pPr>
            <w:r w:rsidRPr="007E5886">
              <w:t>contamination of land, air and stormwater pollutants, and disch</w:t>
            </w:r>
            <w:r w:rsidRPr="007E5886">
              <w:t>arge to sewerage</w:t>
            </w:r>
          </w:p>
          <w:p w:rsidR="00000000" w:rsidP="007E5886">
            <w:pPr>
              <w:pStyle w:val="ListBullet"/>
              <w:rPr>
                <w:lang w:val="en-NZ"/>
              </w:rPr>
            </w:pPr>
            <w:r w:rsidRPr="007E5886">
              <w:t>climate change.</w:t>
            </w:r>
          </w:p>
        </w:tc>
      </w:tr>
      <w:tr w:rsidTr="007E588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Planning and scheduling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ListBullet"/>
            </w:pPr>
            <w:r w:rsidRPr="007E5886">
              <w:t xml:space="preserve">critical path or Pert network plans </w:t>
            </w:r>
          </w:p>
          <w:p w:rsidR="00000000" w:rsidP="007E5886">
            <w:pPr>
              <w:pStyle w:val="ListBullet"/>
              <w:rPr>
                <w:lang w:val="en-NZ"/>
              </w:rPr>
            </w:pPr>
            <w:r w:rsidRPr="007E5886">
              <w:t>Gantt charts.</w:t>
            </w:r>
          </w:p>
        </w:tc>
      </w:tr>
      <w:tr w:rsidTr="007E588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886">
            <w:pPr>
              <w:pStyle w:val="BodyText"/>
              <w:rPr>
                <w:lang w:val="en-NZ"/>
              </w:rPr>
            </w:pPr>
            <w:r w:rsidRPr="007E5886">
              <w:t>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886" w:rsidP="007E5886">
            <w:pPr>
              <w:pStyle w:val="ListBullet"/>
            </w:pPr>
            <w:r w:rsidRPr="007E5886">
              <w:t>software employed for performance analysis and modelling including program techniques and algorithms and the use of failure effects analysis (FEA) and numerical methods within object-oriented modelling techniques</w:t>
            </w:r>
          </w:p>
          <w:p w:rsidR="00000000" w:rsidRPr="007E5886" w:rsidP="007E5886">
            <w:pPr>
              <w:pStyle w:val="ListBullet"/>
            </w:pPr>
            <w:r w:rsidRPr="007E5886">
              <w:t>comparison of traditional solutions for sim</w:t>
            </w:r>
            <w:r w:rsidRPr="007E5886">
              <w:t>ple design problems with software solutions to the same design problems</w:t>
            </w:r>
          </w:p>
          <w:p w:rsidR="00000000" w:rsidRPr="007E5886" w:rsidP="007E5886">
            <w:pPr>
              <w:pStyle w:val="ListBullet"/>
            </w:pPr>
            <w:r w:rsidRPr="007E5886">
              <w:t>review of previously implemented design challenges which were completed using the software.</w:t>
            </w:r>
          </w:p>
        </w:tc>
      </w:tr>
    </w:tbl>
    <w:p w:rsidR="00000000" w:rsidRPr="007E5886" w:rsidP="007E5886">
      <w:pPr>
        <w:pStyle w:val="BodyText"/>
      </w:pPr>
    </w:p>
    <w:p w:rsidR="00000000" w:rsidRPr="007E5886" w:rsidP="007E5886">
      <w:pPr>
        <w:pStyle w:val="AllowPageBreak"/>
      </w:pPr>
    </w:p>
    <w:p w:rsidR="00000000" w:rsidRPr="007E5886" w:rsidP="007E5886">
      <w:pPr>
        <w:pStyle w:val="Heading1"/>
      </w:pPr>
      <w:bookmarkStart w:id="8" w:name="O_945317"/>
      <w:bookmarkEnd w:id="8"/>
      <w:r w:rsidRPr="007E5886">
        <w:t>Unit Mapping Information</w:t>
      </w:r>
    </w:p>
    <w:p w:rsidR="00000000" w:rsidRPr="007E5886" w:rsidP="00F44CD4">
      <w:pPr>
        <w:pStyle w:val="BodyText"/>
      </w:pPr>
      <w:r w:rsidRPr="007E5886">
        <w:t>Release 1. Supersedes and is equivalent to MEM23</w:t>
      </w:r>
      <w:r w:rsidRPr="007E5886">
        <w:t>4030A Provide specialised technical and engineering guidance to other technical employees.</w:t>
      </w:r>
    </w:p>
    <w:p w:rsidR="00000000" w:rsidRPr="007E5886" w:rsidP="007E5886">
      <w:pPr>
        <w:pStyle w:val="Heading1"/>
      </w:pPr>
      <w:bookmarkStart w:id="9" w:name="O_945310"/>
      <w:bookmarkEnd w:id="9"/>
      <w:r w:rsidRPr="007E5886">
        <w:t>Links</w:t>
      </w:r>
    </w:p>
    <w:p w:rsidR="00000000" w:rsidRPr="007E5886" w:rsidP="00F44CD4">
      <w:pPr>
        <w:pStyle w:val="BodyText"/>
      </w:pPr>
      <w:r w:rsidRPr="007E5886">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5A3871">
        <w:rPr>
          <w:rStyle w:val="Hyperlink"/>
        </w:rPr>
        <w:t>https://vetnet.gov.au/Pages/TrainingDocs.aspx?q=b7050d37-5fd0-4740-8f7d-3b7a49c10bb2</w:t>
      </w:r>
      <w:r>
        <w:fldChar w:fldCharType="end"/>
      </w:r>
    </w:p>
    <w:p w:rsidR="00000000" w:rsidRPr="007E5886" w:rsidP="007E5886"/>
    <w:sectPr w:rsidSect="007E58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86" w:rsidRPr="00F44CD4" w:rsidP="00F44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4" w:rsidP="007E5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CD4" w:rsidP="007E58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4CD4" w:rsidP="007E58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886" w:rsidRPr="00F44CD4" w:rsidP="00F44C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4" w:rsidRPr="002D2AF8" w:rsidP="007E5886">
    <w:pPr>
      <w:pStyle w:val="Header"/>
      <w:framePr w:wrap="around"/>
    </w:pPr>
    <w:r>
      <w:fldChar w:fldCharType="begin"/>
    </w:r>
    <w:r>
      <w:instrText xml:space="preserve"> TITLE   \* MERGEFORMAT </w:instrText>
    </w:r>
    <w:r>
      <w:fldChar w:fldCharType="separate"/>
    </w:r>
    <w:r>
      <w:t>MEM234030 Provide specialised technical and engineering guidance to other technical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44CD4" w:rsidP="007E5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B63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300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886"/>
    <w:pPr>
      <w:spacing w:before="360" w:after="60"/>
      <w:outlineLvl w:val="0"/>
    </w:pPr>
    <w:rPr>
      <w:sz w:val="32"/>
    </w:rPr>
  </w:style>
  <w:style w:type="paragraph" w:styleId="Heading2">
    <w:name w:val="heading 2"/>
    <w:basedOn w:val="HeadingBase"/>
    <w:next w:val="BodyText"/>
    <w:link w:val="Heading2Char"/>
    <w:qFormat/>
    <w:rsid w:val="007E5886"/>
    <w:pPr>
      <w:keepLines/>
      <w:spacing w:before="240" w:after="120"/>
      <w:outlineLvl w:val="1"/>
    </w:pPr>
    <w:rPr>
      <w:sz w:val="28"/>
      <w:szCs w:val="40"/>
    </w:rPr>
  </w:style>
  <w:style w:type="paragraph" w:styleId="Heading3">
    <w:name w:val="heading 3"/>
    <w:basedOn w:val="HeadingBase"/>
    <w:next w:val="BodyText"/>
    <w:link w:val="Heading3Char"/>
    <w:qFormat/>
    <w:rsid w:val="007E5886"/>
    <w:pPr>
      <w:spacing w:before="180" w:after="120"/>
      <w:outlineLvl w:val="2"/>
    </w:pPr>
    <w:rPr>
      <w:spacing w:val="-10"/>
      <w:kern w:val="32"/>
    </w:rPr>
  </w:style>
  <w:style w:type="paragraph" w:styleId="Heading4">
    <w:name w:val="heading 4"/>
    <w:basedOn w:val="HeadingBase"/>
    <w:next w:val="BodyText"/>
    <w:link w:val="Heading4Char"/>
    <w:qFormat/>
    <w:rsid w:val="007E5886"/>
    <w:pPr>
      <w:spacing w:before="160" w:after="120"/>
      <w:outlineLvl w:val="3"/>
    </w:pPr>
    <w:rPr>
      <w:sz w:val="22"/>
    </w:rPr>
  </w:style>
  <w:style w:type="paragraph" w:styleId="Heading5">
    <w:name w:val="heading 5"/>
    <w:basedOn w:val="HeadingBase"/>
    <w:next w:val="Normal"/>
    <w:link w:val="Heading5Char"/>
    <w:qFormat/>
    <w:rsid w:val="007E5886"/>
    <w:pPr>
      <w:spacing w:before="80"/>
      <w:outlineLvl w:val="4"/>
    </w:pPr>
    <w:rPr>
      <w:color w:val="918585"/>
      <w:sz w:val="20"/>
    </w:rPr>
  </w:style>
  <w:style w:type="paragraph" w:styleId="Heading6">
    <w:name w:val="heading 6"/>
    <w:basedOn w:val="HeadingBase"/>
    <w:next w:val="Normal"/>
    <w:link w:val="Heading6Char"/>
    <w:qFormat/>
    <w:rsid w:val="007E5886"/>
    <w:pPr>
      <w:spacing w:before="60"/>
      <w:outlineLvl w:val="5"/>
    </w:pPr>
    <w:rPr>
      <w:color w:val="918585"/>
      <w:sz w:val="20"/>
    </w:rPr>
  </w:style>
  <w:style w:type="paragraph" w:styleId="Heading7">
    <w:name w:val="heading 7"/>
    <w:basedOn w:val="Normal"/>
    <w:next w:val="Normal"/>
    <w:link w:val="Heading7Char"/>
    <w:qFormat/>
    <w:rsid w:val="007E5886"/>
    <w:pPr>
      <w:ind w:left="720"/>
      <w:outlineLvl w:val="6"/>
    </w:pPr>
    <w:rPr>
      <w:i/>
    </w:rPr>
  </w:style>
  <w:style w:type="paragraph" w:styleId="Heading8">
    <w:name w:val="heading 8"/>
    <w:basedOn w:val="Normal"/>
    <w:next w:val="Normal"/>
    <w:link w:val="Heading8Char"/>
    <w:qFormat/>
    <w:rsid w:val="007E5886"/>
    <w:pPr>
      <w:ind w:left="720"/>
      <w:outlineLvl w:val="7"/>
    </w:pPr>
    <w:rPr>
      <w:i/>
    </w:rPr>
  </w:style>
  <w:style w:type="paragraph" w:styleId="Heading9">
    <w:name w:val="heading 9"/>
    <w:basedOn w:val="Normal"/>
    <w:next w:val="Normal"/>
    <w:link w:val="Heading9Char"/>
    <w:qFormat/>
    <w:rsid w:val="007E5886"/>
    <w:pPr>
      <w:ind w:left="720"/>
      <w:outlineLvl w:val="8"/>
    </w:pPr>
    <w:rPr>
      <w:i/>
    </w:rPr>
  </w:style>
  <w:style w:type="character" w:default="1" w:styleId="DefaultParagraphFont">
    <w:name w:val="Default Paragraph Font"/>
    <w:uiPriority w:val="1"/>
    <w:unhideWhenUsed/>
    <w:rsid w:val="007E5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886"/>
  </w:style>
  <w:style w:type="character" w:customStyle="1" w:styleId="Heading1Char">
    <w:name w:val="Heading 1 Char"/>
    <w:basedOn w:val="DefaultParagraphFont"/>
    <w:link w:val="Heading1"/>
    <w:rsid w:val="007E5886"/>
    <w:rPr>
      <w:rFonts w:ascii="Times New Roman" w:eastAsia="Times New Roman" w:hAnsi="Times New Roman" w:cs="Times New Roman"/>
      <w:b/>
      <w:sz w:val="32"/>
      <w:szCs w:val="20"/>
      <w:lang w:eastAsia="en-US"/>
    </w:rPr>
  </w:style>
  <w:style w:type="paragraph" w:styleId="BodyText">
    <w:name w:val="Body Text"/>
    <w:basedOn w:val="Normal"/>
    <w:link w:val="BodyTextChar"/>
    <w:rsid w:val="007E58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886"/>
    <w:rPr>
      <w:rFonts w:ascii="Times New Roman" w:eastAsia="Times New Roman" w:hAnsi="Times New Roman" w:cs="Times New Roman"/>
      <w:sz w:val="24"/>
      <w:lang w:eastAsia="en-US"/>
    </w:rPr>
  </w:style>
  <w:style w:type="paragraph" w:styleId="ListBullet">
    <w:name w:val="List Bullet"/>
    <w:basedOn w:val="List"/>
    <w:rsid w:val="007E5886"/>
    <w:pPr>
      <w:numPr>
        <w:numId w:val="11"/>
      </w:numPr>
      <w:tabs>
        <w:tab w:val="clear" w:pos="340"/>
      </w:tabs>
      <w:spacing w:before="40" w:after="40"/>
    </w:pPr>
  </w:style>
  <w:style w:type="character" w:customStyle="1" w:styleId="SpecialBold">
    <w:name w:val="Special Bold"/>
    <w:basedOn w:val="DefaultParagraphFont"/>
    <w:rsid w:val="007E5886"/>
    <w:rPr>
      <w:b/>
      <w:spacing w:val="0"/>
    </w:rPr>
  </w:style>
  <w:style w:type="character" w:styleId="Emphasis">
    <w:name w:val="Emphasis"/>
    <w:basedOn w:val="DefaultParagraphFont"/>
    <w:qFormat/>
    <w:rsid w:val="007E5886"/>
    <w:rPr>
      <w:i/>
    </w:rPr>
  </w:style>
  <w:style w:type="paragraph" w:customStyle="1" w:styleId="SuperHeading">
    <w:name w:val="SuperHeading"/>
    <w:basedOn w:val="Normal"/>
    <w:rsid w:val="007E5886"/>
    <w:pPr>
      <w:spacing w:before="240" w:after="120"/>
      <w:outlineLvl w:val="0"/>
    </w:pPr>
    <w:rPr>
      <w:rFonts w:ascii="Times New Roman" w:hAnsi="Times New Roman"/>
      <w:b/>
      <w:sz w:val="32"/>
    </w:rPr>
  </w:style>
  <w:style w:type="paragraph" w:customStyle="1" w:styleId="AllowPageBreak">
    <w:name w:val="AllowPageBreak"/>
    <w:rsid w:val="007E58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886"/>
    <w:rPr>
      <w:rFonts w:ascii="Courier New" w:eastAsia="Times New Roman" w:hAnsi="Courier New" w:cs="Times New Roman"/>
      <w:i/>
      <w:szCs w:val="20"/>
      <w:lang w:eastAsia="en-US"/>
    </w:rPr>
  </w:style>
  <w:style w:type="paragraph" w:customStyle="1" w:styleId="HeadingBase">
    <w:name w:val="Heading Base"/>
    <w:rsid w:val="007E5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886"/>
    <w:pPr>
      <w:tabs>
        <w:tab w:val="right" w:leader="dot" w:pos="9072"/>
      </w:tabs>
      <w:ind w:left="567"/>
    </w:pPr>
    <w:rPr>
      <w:szCs w:val="22"/>
    </w:rPr>
  </w:style>
  <w:style w:type="paragraph" w:customStyle="1" w:styleId="TOCBase">
    <w:name w:val="TOC Base"/>
    <w:rsid w:val="007E5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886"/>
    <w:pPr>
      <w:tabs>
        <w:tab w:val="right" w:leader="dot" w:pos="9072"/>
      </w:tabs>
      <w:spacing w:before="40" w:after="40"/>
      <w:ind w:left="284"/>
    </w:pPr>
    <w:rPr>
      <w:rFonts w:ascii="Times New Roman" w:hAnsi="Times New Roman"/>
    </w:rPr>
  </w:style>
  <w:style w:type="paragraph" w:styleId="TOC1">
    <w:name w:val="toc 1"/>
    <w:basedOn w:val="TOCBase"/>
    <w:next w:val="Normal"/>
    <w:rsid w:val="007E58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886"/>
    <w:rPr>
      <w:rFonts w:ascii="Times New Roman" w:eastAsia="Times New Roman" w:hAnsi="Times New Roman" w:cs="Times New Roman"/>
      <w:sz w:val="16"/>
      <w:lang w:eastAsia="en-US"/>
    </w:rPr>
  </w:style>
  <w:style w:type="paragraph" w:styleId="Title">
    <w:name w:val="Title"/>
    <w:basedOn w:val="HeadingBase"/>
    <w:link w:val="TitleChar"/>
    <w:qFormat/>
    <w:rsid w:val="007E5886"/>
    <w:pPr>
      <w:spacing w:before="5040"/>
      <w:jc w:val="center"/>
    </w:pPr>
    <w:rPr>
      <w:sz w:val="48"/>
      <w:szCs w:val="72"/>
      <w:lang w:val="en-US"/>
    </w:rPr>
  </w:style>
  <w:style w:type="character" w:customStyle="1" w:styleId="TitleChar">
    <w:name w:val="Title Char"/>
    <w:basedOn w:val="DefaultParagraphFont"/>
    <w:link w:val="Title"/>
    <w:rsid w:val="007E5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886"/>
    <w:pPr>
      <w:tabs>
        <w:tab w:val="left" w:pos="3600"/>
        <w:tab w:val="left" w:pos="3958"/>
      </w:tabs>
    </w:pPr>
  </w:style>
  <w:style w:type="paragraph" w:styleId="List">
    <w:name w:val="List"/>
    <w:basedOn w:val="BodyText"/>
    <w:next w:val="BodyText"/>
    <w:rsid w:val="007E5886"/>
    <w:pPr>
      <w:tabs>
        <w:tab w:val="left" w:pos="340"/>
      </w:tabs>
      <w:spacing w:before="60" w:after="60"/>
      <w:ind w:left="340" w:hanging="340"/>
    </w:pPr>
  </w:style>
  <w:style w:type="paragraph" w:customStyle="1" w:styleId="Note">
    <w:name w:val="Note"/>
    <w:basedOn w:val="BodyText"/>
    <w:rsid w:val="007E5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886"/>
    <w:pPr>
      <w:framePr w:wrap="auto" w:hAnchor="text" w:y="6049"/>
    </w:pPr>
    <w:rPr>
      <w:color w:val="000000"/>
      <w:sz w:val="40"/>
    </w:rPr>
  </w:style>
  <w:style w:type="paragraph" w:customStyle="1" w:styleId="TOCTitle">
    <w:name w:val="TOCTitle"/>
    <w:basedOn w:val="Heading1"/>
    <w:rsid w:val="007E5886"/>
    <w:pPr>
      <w:spacing w:after="240"/>
      <w:jc w:val="center"/>
      <w:outlineLvl w:val="9"/>
    </w:pPr>
    <w:rPr>
      <w:caps/>
    </w:rPr>
  </w:style>
  <w:style w:type="paragraph" w:customStyle="1" w:styleId="Version">
    <w:name w:val="Version"/>
    <w:rsid w:val="007E58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886"/>
    <w:pPr>
      <w:numPr>
        <w:numId w:val="12"/>
      </w:numPr>
      <w:tabs>
        <w:tab w:val="clear" w:pos="680"/>
      </w:tabs>
    </w:pPr>
  </w:style>
  <w:style w:type="paragraph" w:styleId="Index1">
    <w:name w:val="index 1"/>
    <w:basedOn w:val="Normal"/>
    <w:next w:val="Normal"/>
    <w:semiHidden/>
    <w:rsid w:val="007E5886"/>
    <w:pPr>
      <w:keepNext w:val="0"/>
      <w:tabs>
        <w:tab w:val="right" w:pos="4176"/>
      </w:tabs>
      <w:ind w:left="198" w:hanging="198"/>
    </w:pPr>
    <w:rPr>
      <w:rFonts w:ascii="Garamond" w:hAnsi="Garamond"/>
    </w:rPr>
  </w:style>
  <w:style w:type="paragraph" w:styleId="IndexHeading">
    <w:name w:val="index heading"/>
    <w:basedOn w:val="Normal"/>
    <w:next w:val="Index1"/>
    <w:semiHidden/>
    <w:rsid w:val="007E5886"/>
    <w:pPr>
      <w:spacing w:before="120" w:after="120"/>
    </w:pPr>
    <w:rPr>
      <w:rFonts w:ascii="Arial" w:hAnsi="Arial"/>
      <w:b/>
      <w:color w:val="918585"/>
      <w:sz w:val="24"/>
    </w:rPr>
  </w:style>
  <w:style w:type="paragraph" w:styleId="Header">
    <w:name w:val="header"/>
    <w:basedOn w:val="Normal"/>
    <w:link w:val="HeaderChar"/>
    <w:rsid w:val="007E5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886"/>
    <w:rPr>
      <w:rFonts w:ascii="Times New Roman" w:eastAsia="Times New Roman" w:hAnsi="Times New Roman" w:cs="Times New Roman"/>
      <w:sz w:val="16"/>
      <w:szCs w:val="20"/>
      <w:lang w:val="en-GB" w:eastAsia="en-US"/>
    </w:rPr>
  </w:style>
  <w:style w:type="paragraph" w:customStyle="1" w:styleId="Chapter">
    <w:name w:val="Chapter"/>
    <w:basedOn w:val="Normal"/>
    <w:rsid w:val="007E5886"/>
    <w:pPr>
      <w:spacing w:before="240"/>
    </w:pPr>
    <w:rPr>
      <w:rFonts w:ascii="Times New Roman" w:hAnsi="Times New Roman"/>
      <w:smallCaps/>
      <w:spacing w:val="80"/>
      <w:sz w:val="28"/>
    </w:rPr>
  </w:style>
  <w:style w:type="paragraph" w:customStyle="1" w:styleId="InChapter">
    <w:name w:val="InChapter"/>
    <w:basedOn w:val="Heading3"/>
    <w:rsid w:val="007E5886"/>
    <w:pPr>
      <w:spacing w:after="240"/>
      <w:outlineLvl w:val="9"/>
    </w:pPr>
    <w:rPr>
      <w:noProof/>
    </w:rPr>
  </w:style>
  <w:style w:type="paragraph" w:styleId="Index2">
    <w:name w:val="index 2"/>
    <w:basedOn w:val="Normal"/>
    <w:next w:val="Normal"/>
    <w:semiHidden/>
    <w:rsid w:val="007E5886"/>
    <w:pPr>
      <w:tabs>
        <w:tab w:val="right" w:pos="4176"/>
      </w:tabs>
      <w:ind w:left="568" w:hanging="284"/>
    </w:pPr>
    <w:rPr>
      <w:rFonts w:ascii="Garamond" w:hAnsi="Garamond"/>
    </w:rPr>
  </w:style>
  <w:style w:type="paragraph" w:customStyle="1" w:styleId="Byline">
    <w:name w:val="Byline"/>
    <w:rsid w:val="007E5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886"/>
    <w:pPr>
      <w:tabs>
        <w:tab w:val="clear" w:pos="3600"/>
        <w:tab w:val="clear" w:pos="3958"/>
      </w:tabs>
      <w:jc w:val="right"/>
    </w:pPr>
  </w:style>
  <w:style w:type="paragraph" w:styleId="Caption">
    <w:name w:val="caption"/>
    <w:basedOn w:val="BodyText"/>
    <w:next w:val="Normal"/>
    <w:qFormat/>
    <w:rsid w:val="007E5886"/>
    <w:pPr>
      <w:framePr w:w="2268" w:hSpace="181" w:vSpace="181" w:wrap="around" w:vAnchor="text" w:hAnchor="page" w:x="1135" w:y="285" w:anchorLock="1"/>
    </w:pPr>
    <w:rPr>
      <w:i/>
    </w:rPr>
  </w:style>
  <w:style w:type="paragraph" w:customStyle="1" w:styleId="MiniTOCTitle">
    <w:name w:val="MiniTOCTitle"/>
    <w:basedOn w:val="Heading4"/>
    <w:rsid w:val="007E5886"/>
    <w:pPr>
      <w:spacing w:before="240"/>
      <w:outlineLvl w:val="9"/>
    </w:pPr>
    <w:rPr>
      <w:noProof/>
      <w:sz w:val="24"/>
    </w:rPr>
  </w:style>
  <w:style w:type="paragraph" w:customStyle="1" w:styleId="MiniTOCItem">
    <w:name w:val="MiniTOCItem"/>
    <w:basedOn w:val="ListBullet"/>
    <w:rsid w:val="007E5886"/>
    <w:pPr>
      <w:numPr>
        <w:numId w:val="0"/>
      </w:numPr>
      <w:tabs>
        <w:tab w:val="right" w:leader="dot" w:pos="6521"/>
      </w:tabs>
      <w:spacing w:before="0" w:after="0"/>
    </w:pPr>
  </w:style>
  <w:style w:type="paragraph" w:customStyle="1" w:styleId="TOFTitle">
    <w:name w:val="TOFTitle"/>
    <w:basedOn w:val="TOCTitle"/>
    <w:rsid w:val="007E5886"/>
  </w:style>
  <w:style w:type="paragraph" w:styleId="TableofFigures">
    <w:name w:val="table of figures"/>
    <w:basedOn w:val="Normal"/>
    <w:next w:val="Normal"/>
    <w:semiHidden/>
    <w:rsid w:val="007E5886"/>
    <w:pPr>
      <w:tabs>
        <w:tab w:val="right" w:leader="dot" w:pos="9072"/>
      </w:tabs>
      <w:ind w:left="970" w:hanging="403"/>
    </w:pPr>
    <w:rPr>
      <w:rFonts w:ascii="Times New Roman" w:hAnsi="Times New Roman"/>
      <w:b/>
    </w:rPr>
  </w:style>
  <w:style w:type="paragraph" w:styleId="ListNumber">
    <w:name w:val="List Number"/>
    <w:basedOn w:val="List"/>
    <w:rsid w:val="007E5886"/>
    <w:pPr>
      <w:numPr>
        <w:numId w:val="14"/>
      </w:numPr>
      <w:tabs>
        <w:tab w:val="clear" w:pos="340"/>
      </w:tabs>
    </w:pPr>
  </w:style>
  <w:style w:type="character" w:customStyle="1" w:styleId="WingdingSymbols">
    <w:name w:val="Wingding Symbols"/>
    <w:rsid w:val="007E5886"/>
    <w:rPr>
      <w:rFonts w:ascii="Wingdings" w:hAnsi="Wingdings"/>
    </w:rPr>
  </w:style>
  <w:style w:type="paragraph" w:customStyle="1" w:styleId="TableHeading">
    <w:name w:val="Table Heading"/>
    <w:basedOn w:val="HeadingBase"/>
    <w:rsid w:val="007E5886"/>
    <w:pPr>
      <w:keepLines/>
      <w:pBdr>
        <w:bottom w:val="single" w:sz="6" w:space="1" w:color="918585"/>
      </w:pBdr>
      <w:spacing w:before="240"/>
    </w:pPr>
  </w:style>
  <w:style w:type="character" w:customStyle="1" w:styleId="HotSpot">
    <w:name w:val="HotSpot"/>
    <w:rsid w:val="007E5886"/>
    <w:rPr>
      <w:color w:val="0033CC"/>
      <w:u w:val="none"/>
    </w:rPr>
  </w:style>
  <w:style w:type="paragraph" w:customStyle="1" w:styleId="BodyTextRight">
    <w:name w:val="Body Text Right"/>
    <w:basedOn w:val="BodyText"/>
    <w:rsid w:val="007E5886"/>
    <w:pPr>
      <w:spacing w:before="0" w:after="0"/>
      <w:jc w:val="right"/>
    </w:pPr>
  </w:style>
  <w:style w:type="paragraph" w:styleId="Index3">
    <w:name w:val="index 3"/>
    <w:basedOn w:val="ListNumber2"/>
    <w:next w:val="Normal"/>
    <w:semiHidden/>
    <w:rsid w:val="007E5886"/>
    <w:pPr>
      <w:numPr>
        <w:numId w:val="0"/>
      </w:numPr>
      <w:tabs>
        <w:tab w:val="right" w:leader="dot" w:pos="4176"/>
      </w:tabs>
    </w:pPr>
  </w:style>
  <w:style w:type="paragraph" w:styleId="ListNumber2">
    <w:name w:val="List Number 2"/>
    <w:basedOn w:val="List2"/>
    <w:rsid w:val="007E5886"/>
    <w:pPr>
      <w:numPr>
        <w:numId w:val="9"/>
      </w:numPr>
      <w:tabs>
        <w:tab w:val="clear" w:pos="1060"/>
      </w:tabs>
    </w:pPr>
  </w:style>
  <w:style w:type="paragraph" w:customStyle="1" w:styleId="MarginNote">
    <w:name w:val="Margin Note"/>
    <w:basedOn w:val="BodyText"/>
    <w:rsid w:val="007E5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886"/>
    <w:rPr>
      <w:sz w:val="32"/>
    </w:rPr>
  </w:style>
  <w:style w:type="paragraph" w:customStyle="1" w:styleId="HeadingProcedure">
    <w:name w:val="Heading Procedure"/>
    <w:basedOn w:val="HeadingBase"/>
    <w:next w:val="Normal"/>
    <w:rsid w:val="007E5886"/>
    <w:pPr>
      <w:tabs>
        <w:tab w:val="left" w:pos="0"/>
      </w:tabs>
      <w:spacing w:before="120" w:after="60"/>
    </w:pPr>
    <w:rPr>
      <w:i/>
      <w:color w:val="918585"/>
      <w:sz w:val="22"/>
    </w:rPr>
  </w:style>
  <w:style w:type="paragraph" w:customStyle="1" w:styleId="TableBodyText">
    <w:name w:val="Table Body Text"/>
    <w:basedOn w:val="BodyText"/>
    <w:rsid w:val="007E5886"/>
    <w:pPr>
      <w:spacing w:before="60" w:after="60"/>
    </w:pPr>
  </w:style>
  <w:style w:type="paragraph" w:styleId="ListContinue">
    <w:name w:val="List Continue"/>
    <w:basedOn w:val="List"/>
    <w:rsid w:val="007E5886"/>
    <w:pPr>
      <w:ind w:firstLine="0"/>
    </w:pPr>
  </w:style>
  <w:style w:type="paragraph" w:customStyle="1" w:styleId="ListNote">
    <w:name w:val="List Note"/>
    <w:basedOn w:val="List"/>
    <w:rsid w:val="007E5886"/>
    <w:pPr>
      <w:pBdr>
        <w:top w:val="single" w:sz="6" w:space="2" w:color="918585"/>
        <w:bottom w:val="single" w:sz="6" w:space="2" w:color="918585"/>
      </w:pBdr>
      <w:tabs>
        <w:tab w:val="left" w:pos="1021"/>
      </w:tabs>
      <w:ind w:firstLine="0"/>
    </w:pPr>
  </w:style>
  <w:style w:type="paragraph" w:customStyle="1" w:styleId="Warning">
    <w:name w:val="Warning"/>
    <w:basedOn w:val="BodyText"/>
    <w:rsid w:val="007E5886"/>
    <w:pPr>
      <w:shd w:val="clear" w:color="auto" w:fill="D9D9D9"/>
      <w:tabs>
        <w:tab w:val="left" w:pos="992"/>
      </w:tabs>
      <w:ind w:left="119" w:right="119"/>
    </w:pPr>
    <w:rPr>
      <w:sz w:val="20"/>
    </w:rPr>
  </w:style>
  <w:style w:type="paragraph" w:customStyle="1" w:styleId="MarginIcons">
    <w:name w:val="Margin Icons"/>
    <w:basedOn w:val="BodyText"/>
    <w:rsid w:val="007E5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886"/>
    <w:rPr>
      <w:rFonts w:ascii="Courier New" w:hAnsi="Courier New"/>
    </w:rPr>
  </w:style>
  <w:style w:type="paragraph" w:customStyle="1" w:styleId="NoteBullet">
    <w:name w:val="Note Bullet"/>
    <w:basedOn w:val="Note"/>
    <w:rsid w:val="007E5886"/>
    <w:pPr>
      <w:tabs>
        <w:tab w:val="clear" w:pos="680"/>
      </w:tabs>
      <w:spacing w:before="60" w:after="60"/>
    </w:pPr>
  </w:style>
  <w:style w:type="paragraph" w:customStyle="1" w:styleId="SubHeading2">
    <w:name w:val="SubHeading2"/>
    <w:basedOn w:val="HeadingBase"/>
    <w:rsid w:val="007E5886"/>
    <w:pPr>
      <w:spacing w:before="240" w:after="60"/>
    </w:pPr>
    <w:rPr>
      <w:sz w:val="20"/>
    </w:rPr>
  </w:style>
  <w:style w:type="paragraph" w:customStyle="1" w:styleId="SubHeading1">
    <w:name w:val="SubHeading1"/>
    <w:basedOn w:val="HeadingBase"/>
    <w:rsid w:val="007E5886"/>
    <w:pPr>
      <w:spacing w:before="240" w:after="60"/>
    </w:pPr>
    <w:rPr>
      <w:color w:val="918585"/>
      <w:sz w:val="22"/>
    </w:rPr>
  </w:style>
  <w:style w:type="paragraph" w:customStyle="1" w:styleId="SideHeading">
    <w:name w:val="Side Heading"/>
    <w:basedOn w:val="HeadingBase"/>
    <w:rsid w:val="007E5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886"/>
    <w:pPr>
      <w:numPr>
        <w:numId w:val="10"/>
      </w:numPr>
    </w:pPr>
  </w:style>
  <w:style w:type="paragraph" w:styleId="PlainText">
    <w:name w:val="Plain Text"/>
    <w:basedOn w:val="Normal"/>
    <w:link w:val="PlainTextChar"/>
    <w:rsid w:val="007E5886"/>
    <w:rPr>
      <w:sz w:val="20"/>
    </w:rPr>
  </w:style>
  <w:style w:type="character" w:customStyle="1" w:styleId="PlainTextChar">
    <w:name w:val="Plain Text Char"/>
    <w:basedOn w:val="DefaultParagraphFont"/>
    <w:link w:val="PlainText"/>
    <w:rsid w:val="007E5886"/>
    <w:rPr>
      <w:rFonts w:ascii="Courier New" w:eastAsia="Times New Roman" w:hAnsi="Courier New" w:cs="Times New Roman"/>
      <w:sz w:val="20"/>
      <w:szCs w:val="20"/>
      <w:lang w:eastAsia="en-US"/>
    </w:rPr>
  </w:style>
  <w:style w:type="character" w:customStyle="1" w:styleId="MenuOption">
    <w:name w:val="Menu Option"/>
    <w:basedOn w:val="DefaultParagraphFont"/>
    <w:rsid w:val="007E5886"/>
    <w:rPr>
      <w:b/>
      <w:smallCaps/>
    </w:rPr>
  </w:style>
  <w:style w:type="paragraph" w:customStyle="1" w:styleId="TableListNumber">
    <w:name w:val="Table List Number"/>
    <w:basedOn w:val="ListNumber"/>
    <w:rsid w:val="007E5886"/>
    <w:pPr>
      <w:numPr>
        <w:numId w:val="0"/>
      </w:numPr>
    </w:pPr>
  </w:style>
  <w:style w:type="paragraph" w:styleId="TOC4">
    <w:name w:val="toc 4"/>
    <w:basedOn w:val="TOCBase"/>
    <w:next w:val="Normal"/>
    <w:semiHidden/>
    <w:rsid w:val="007E5886"/>
    <w:pPr>
      <w:tabs>
        <w:tab w:val="right" w:leader="dot" w:pos="9071"/>
      </w:tabs>
      <w:ind w:left="1701"/>
    </w:pPr>
  </w:style>
  <w:style w:type="paragraph" w:customStyle="1" w:styleId="ListAlpha">
    <w:name w:val="List Alpha"/>
    <w:basedOn w:val="List"/>
    <w:rsid w:val="007E5886"/>
    <w:pPr>
      <w:numPr>
        <w:numId w:val="8"/>
      </w:numPr>
    </w:pPr>
  </w:style>
  <w:style w:type="paragraph" w:customStyle="1" w:styleId="ListAlpha2">
    <w:name w:val="List Alpha 2"/>
    <w:basedOn w:val="List2"/>
    <w:rsid w:val="007E5886"/>
    <w:pPr>
      <w:numPr>
        <w:numId w:val="7"/>
      </w:numPr>
    </w:pPr>
  </w:style>
  <w:style w:type="paragraph" w:styleId="List2">
    <w:name w:val="List 2"/>
    <w:basedOn w:val="BodyText"/>
    <w:rsid w:val="007E5886"/>
    <w:pPr>
      <w:tabs>
        <w:tab w:val="left" w:pos="680"/>
      </w:tabs>
      <w:spacing w:before="60" w:after="60"/>
      <w:ind w:left="680" w:hanging="340"/>
    </w:pPr>
  </w:style>
  <w:style w:type="paragraph" w:styleId="List3">
    <w:name w:val="List 3"/>
    <w:basedOn w:val="BodyText"/>
    <w:rsid w:val="007E5886"/>
    <w:pPr>
      <w:tabs>
        <w:tab w:val="left" w:pos="1021"/>
      </w:tabs>
      <w:spacing w:before="60" w:after="60"/>
      <w:ind w:left="1020" w:hanging="340"/>
    </w:pPr>
  </w:style>
  <w:style w:type="paragraph" w:styleId="List4">
    <w:name w:val="List 4"/>
    <w:basedOn w:val="BodyText"/>
    <w:rsid w:val="007E5886"/>
    <w:pPr>
      <w:tabs>
        <w:tab w:val="left" w:pos="1361"/>
      </w:tabs>
      <w:spacing w:before="60" w:after="60"/>
      <w:ind w:left="1361" w:hanging="340"/>
    </w:pPr>
  </w:style>
  <w:style w:type="paragraph" w:styleId="List5">
    <w:name w:val="List 5"/>
    <w:basedOn w:val="BodyText"/>
    <w:rsid w:val="007E5886"/>
    <w:pPr>
      <w:tabs>
        <w:tab w:val="left" w:pos="1701"/>
      </w:tabs>
      <w:spacing w:before="60" w:after="60"/>
      <w:ind w:left="1701" w:hanging="340"/>
    </w:pPr>
  </w:style>
  <w:style w:type="paragraph" w:styleId="ListBullet3">
    <w:name w:val="List Bullet 3"/>
    <w:basedOn w:val="List3"/>
    <w:rsid w:val="007E5886"/>
    <w:pPr>
      <w:numPr>
        <w:numId w:val="13"/>
      </w:numPr>
      <w:tabs>
        <w:tab w:val="clear" w:pos="1021"/>
      </w:tabs>
      <w:ind w:left="1037" w:hanging="357"/>
    </w:pPr>
  </w:style>
  <w:style w:type="paragraph" w:styleId="ListBullet4">
    <w:name w:val="List Bullet 4"/>
    <w:basedOn w:val="List4"/>
    <w:rsid w:val="007E5886"/>
    <w:pPr>
      <w:numPr>
        <w:numId w:val="2"/>
      </w:numPr>
      <w:tabs>
        <w:tab w:val="clear" w:pos="1361"/>
      </w:tabs>
    </w:pPr>
  </w:style>
  <w:style w:type="paragraph" w:styleId="ListBullet5">
    <w:name w:val="List Bullet 5"/>
    <w:basedOn w:val="List5"/>
    <w:rsid w:val="007E5886"/>
    <w:pPr>
      <w:numPr>
        <w:numId w:val="3"/>
      </w:numPr>
    </w:pPr>
  </w:style>
  <w:style w:type="paragraph" w:styleId="ListContinue2">
    <w:name w:val="List Continue 2"/>
    <w:basedOn w:val="List2"/>
    <w:rsid w:val="007E5886"/>
    <w:pPr>
      <w:ind w:firstLine="0"/>
    </w:pPr>
  </w:style>
  <w:style w:type="paragraph" w:styleId="ListContinue3">
    <w:name w:val="List Continue 3"/>
    <w:basedOn w:val="List3"/>
    <w:rsid w:val="007E5886"/>
    <w:pPr>
      <w:ind w:left="1021" w:firstLine="0"/>
    </w:pPr>
  </w:style>
  <w:style w:type="paragraph" w:styleId="ListContinue4">
    <w:name w:val="List Continue 4"/>
    <w:basedOn w:val="List4"/>
    <w:rsid w:val="007E5886"/>
    <w:pPr>
      <w:ind w:firstLine="0"/>
    </w:pPr>
  </w:style>
  <w:style w:type="paragraph" w:styleId="ListContinue5">
    <w:name w:val="List Continue 5"/>
    <w:basedOn w:val="List5"/>
    <w:rsid w:val="007E5886"/>
    <w:pPr>
      <w:ind w:firstLine="0"/>
    </w:pPr>
  </w:style>
  <w:style w:type="paragraph" w:styleId="ListNumber3">
    <w:name w:val="List Number 3"/>
    <w:basedOn w:val="List3"/>
    <w:rsid w:val="007E5886"/>
    <w:pPr>
      <w:numPr>
        <w:numId w:val="4"/>
      </w:numPr>
    </w:pPr>
  </w:style>
  <w:style w:type="paragraph" w:styleId="ListNumber4">
    <w:name w:val="List Number 4"/>
    <w:basedOn w:val="List4"/>
    <w:rsid w:val="007E5886"/>
    <w:pPr>
      <w:numPr>
        <w:numId w:val="5"/>
      </w:numPr>
    </w:pPr>
  </w:style>
  <w:style w:type="paragraph" w:styleId="ListNumber5">
    <w:name w:val="List Number 5"/>
    <w:basedOn w:val="List5"/>
    <w:rsid w:val="007E5886"/>
    <w:pPr>
      <w:numPr>
        <w:numId w:val="6"/>
      </w:numPr>
    </w:pPr>
  </w:style>
  <w:style w:type="paragraph" w:styleId="BlockText">
    <w:name w:val="Block Text"/>
    <w:basedOn w:val="Normal"/>
    <w:rsid w:val="007E5886"/>
    <w:pPr>
      <w:spacing w:after="120"/>
      <w:ind w:left="1440" w:right="1440"/>
    </w:pPr>
  </w:style>
  <w:style w:type="character" w:customStyle="1" w:styleId="Subscript">
    <w:name w:val="Subscript"/>
    <w:basedOn w:val="DefaultParagraphFont"/>
    <w:rsid w:val="007E5886"/>
    <w:rPr>
      <w:sz w:val="16"/>
      <w:vertAlign w:val="subscript"/>
    </w:rPr>
  </w:style>
  <w:style w:type="character" w:customStyle="1" w:styleId="Superscript">
    <w:name w:val="Superscript"/>
    <w:basedOn w:val="DefaultParagraphFont"/>
    <w:rsid w:val="007E5886"/>
    <w:rPr>
      <w:sz w:val="16"/>
      <w:vertAlign w:val="superscript"/>
    </w:rPr>
  </w:style>
  <w:style w:type="character" w:customStyle="1" w:styleId="Symbols">
    <w:name w:val="Symbols"/>
    <w:basedOn w:val="DefaultParagraphFont"/>
    <w:rsid w:val="007E5886"/>
    <w:rPr>
      <w:rFonts w:ascii="Symbol" w:hAnsi="Symbol"/>
    </w:rPr>
  </w:style>
  <w:style w:type="character" w:customStyle="1" w:styleId="MenuOptions">
    <w:name w:val="Menu Options"/>
    <w:basedOn w:val="DefaultParagraphFont"/>
    <w:rsid w:val="007E5886"/>
    <w:rPr>
      <w:rFonts w:ascii="Arial Narrow" w:hAnsi="Arial Narrow"/>
      <w:smallCaps/>
    </w:rPr>
  </w:style>
  <w:style w:type="character" w:customStyle="1" w:styleId="Buttons">
    <w:name w:val="Buttons"/>
    <w:basedOn w:val="DefaultParagraphFont"/>
    <w:rsid w:val="007E5886"/>
    <w:rPr>
      <w:b/>
    </w:rPr>
  </w:style>
  <w:style w:type="character" w:customStyle="1" w:styleId="Underlined">
    <w:name w:val="Underlined"/>
    <w:basedOn w:val="DefaultParagraphFont"/>
    <w:rsid w:val="007E5886"/>
    <w:rPr>
      <w:u w:val="single"/>
    </w:rPr>
  </w:style>
  <w:style w:type="paragraph" w:customStyle="1" w:styleId="TableBodyTextRight">
    <w:name w:val="Table Body Text Right"/>
    <w:basedOn w:val="TableBodyText"/>
    <w:rsid w:val="007E5886"/>
    <w:pPr>
      <w:widowControl w:val="0"/>
      <w:autoSpaceDE w:val="0"/>
      <w:autoSpaceDN w:val="0"/>
      <w:adjustRightInd w:val="0"/>
      <w:jc w:val="right"/>
    </w:pPr>
    <w:rPr>
      <w:rFonts w:cs="Arial"/>
      <w:szCs w:val="18"/>
    </w:rPr>
  </w:style>
  <w:style w:type="paragraph" w:customStyle="1" w:styleId="CopyrightText">
    <w:name w:val="Copyright Text"/>
    <w:basedOn w:val="BodyText"/>
    <w:rsid w:val="007E5886"/>
    <w:rPr>
      <w:sz w:val="18"/>
    </w:rPr>
  </w:style>
  <w:style w:type="paragraph" w:customStyle="1" w:styleId="BodySmallRight">
    <w:name w:val="Body Small Right"/>
    <w:basedOn w:val="BodyTextRight"/>
    <w:rsid w:val="007E5886"/>
    <w:rPr>
      <w:sz w:val="18"/>
      <w:szCs w:val="18"/>
    </w:rPr>
  </w:style>
  <w:style w:type="paragraph" w:customStyle="1" w:styleId="MarginEdition">
    <w:name w:val="Margin Edition"/>
    <w:basedOn w:val="MarginNote"/>
    <w:rsid w:val="007E5886"/>
    <w:pPr>
      <w:spacing w:before="0" w:after="0"/>
    </w:pPr>
    <w:rPr>
      <w:rFonts w:ascii="Times New Roman" w:hAnsi="Times New Roman"/>
      <w:color w:val="999999"/>
    </w:rPr>
  </w:style>
  <w:style w:type="paragraph" w:customStyle="1" w:styleId="Spacer">
    <w:name w:val="Spacer"/>
    <w:basedOn w:val="Normal"/>
    <w:rsid w:val="007E5886"/>
    <w:rPr>
      <w:sz w:val="2"/>
      <w:szCs w:val="2"/>
    </w:rPr>
  </w:style>
  <w:style w:type="character" w:customStyle="1" w:styleId="Small">
    <w:name w:val="Small"/>
    <w:basedOn w:val="DefaultParagraphFont"/>
    <w:rsid w:val="007E5886"/>
    <w:rPr>
      <w:sz w:val="16"/>
    </w:rPr>
  </w:style>
  <w:style w:type="paragraph" w:customStyle="1" w:styleId="WideTable">
    <w:name w:val="Wide Table"/>
    <w:basedOn w:val="Normal"/>
    <w:rsid w:val="007E5886"/>
    <w:pPr>
      <w:ind w:left="-1418"/>
    </w:pPr>
    <w:rPr>
      <w:sz w:val="2"/>
      <w:szCs w:val="2"/>
    </w:rPr>
  </w:style>
  <w:style w:type="character" w:styleId="PageNumber">
    <w:name w:val="page number"/>
    <w:basedOn w:val="DefaultParagraphFont"/>
    <w:rsid w:val="007E5886"/>
  </w:style>
  <w:style w:type="paragraph" w:styleId="Quote">
    <w:name w:val="Quote"/>
    <w:basedOn w:val="Heading1"/>
    <w:link w:val="QuoteChar"/>
    <w:qFormat/>
    <w:rsid w:val="007E5886"/>
    <w:rPr>
      <w:b w:val="0"/>
      <w:sz w:val="72"/>
      <w:szCs w:val="72"/>
      <w:lang w:val="en-NZ"/>
    </w:rPr>
  </w:style>
  <w:style w:type="character" w:customStyle="1" w:styleId="QuoteChar">
    <w:name w:val="Quote Char"/>
    <w:basedOn w:val="DefaultParagraphFont"/>
    <w:link w:val="Quote"/>
    <w:rsid w:val="007E5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886"/>
    <w:pPr>
      <w:pageBreakBefore/>
    </w:pPr>
  </w:style>
  <w:style w:type="paragraph" w:customStyle="1" w:styleId="Border">
    <w:name w:val="Border"/>
    <w:basedOn w:val="Normal"/>
    <w:qFormat/>
    <w:rsid w:val="007E5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886"/>
    <w:rPr>
      <w:b/>
      <w:bCs/>
      <w:i/>
      <w:iCs/>
      <w:color w:val="auto"/>
    </w:rPr>
  </w:style>
  <w:style w:type="paragraph" w:styleId="IntenseQuote">
    <w:name w:val="Intense Quote"/>
    <w:basedOn w:val="Normal"/>
    <w:next w:val="Normal"/>
    <w:link w:val="IntenseQuoteChar"/>
    <w:uiPriority w:val="30"/>
    <w:qFormat/>
    <w:rsid w:val="007E5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886"/>
    <w:rPr>
      <w:smallCaps/>
      <w:color w:val="auto"/>
      <w:u w:val="single"/>
    </w:rPr>
  </w:style>
  <w:style w:type="character" w:styleId="IntenseReference">
    <w:name w:val="Intense Reference"/>
    <w:basedOn w:val="DefaultParagraphFont"/>
    <w:uiPriority w:val="32"/>
    <w:qFormat/>
    <w:rsid w:val="007E5886"/>
    <w:rPr>
      <w:b/>
      <w:bCs/>
      <w:smallCaps/>
      <w:color w:val="auto"/>
      <w:spacing w:val="5"/>
      <w:u w:val="single"/>
    </w:rPr>
  </w:style>
  <w:style w:type="paragraph" w:customStyle="1" w:styleId="2ColumnHeading">
    <w:name w:val="2Column Heading"/>
    <w:basedOn w:val="BodyText"/>
    <w:qFormat/>
    <w:rsid w:val="007E5886"/>
    <w:pPr>
      <w:spacing w:after="60"/>
      <w:ind w:left="-2268"/>
    </w:pPr>
    <w:rPr>
      <w:b/>
    </w:rPr>
  </w:style>
  <w:style w:type="paragraph" w:customStyle="1" w:styleId="Heading1TOC">
    <w:name w:val="Heading1 TOC"/>
    <w:basedOn w:val="Normal"/>
    <w:qFormat/>
    <w:rsid w:val="007E5886"/>
    <w:pPr>
      <w:spacing w:before="240" w:after="120"/>
    </w:pPr>
    <w:rPr>
      <w:rFonts w:ascii="Times New Roman" w:hAnsi="Times New Roman"/>
      <w:b/>
      <w:sz w:val="32"/>
    </w:rPr>
  </w:style>
  <w:style w:type="paragraph" w:customStyle="1" w:styleId="Heading2TOC">
    <w:name w:val="Heading2 TOC"/>
    <w:basedOn w:val="Normal"/>
    <w:qFormat/>
    <w:rsid w:val="007E5886"/>
    <w:pPr>
      <w:spacing w:before="240" w:after="60"/>
    </w:pPr>
    <w:rPr>
      <w:rFonts w:ascii="Times New Roman" w:hAnsi="Times New Roman"/>
      <w:b/>
      <w:sz w:val="28"/>
    </w:rPr>
  </w:style>
  <w:style w:type="character" w:customStyle="1" w:styleId="Underline">
    <w:name w:val="Underline"/>
    <w:basedOn w:val="DefaultParagraphFont"/>
    <w:qFormat/>
    <w:rsid w:val="007E5886"/>
    <w:rPr>
      <w:u w:val="single"/>
    </w:rPr>
  </w:style>
  <w:style w:type="character" w:customStyle="1" w:styleId="BoldandItalics">
    <w:name w:val="Bold and Italics"/>
    <w:qFormat/>
    <w:rsid w:val="007E5886"/>
    <w:rPr>
      <w:b/>
      <w:i/>
      <w:u w:val="none"/>
    </w:rPr>
  </w:style>
  <w:style w:type="paragraph" w:styleId="BalloonText">
    <w:name w:val="Balloon Text"/>
    <w:basedOn w:val="Normal"/>
    <w:link w:val="BalloonTextChar"/>
    <w:rsid w:val="007E5886"/>
    <w:rPr>
      <w:rFonts w:ascii="Tahoma" w:hAnsi="Tahoma" w:cs="Tahoma"/>
      <w:sz w:val="16"/>
      <w:szCs w:val="16"/>
    </w:rPr>
  </w:style>
  <w:style w:type="character" w:customStyle="1" w:styleId="BalloonTextChar">
    <w:name w:val="Balloon Text Char"/>
    <w:basedOn w:val="DefaultParagraphFont"/>
    <w:link w:val="BalloonText"/>
    <w:rsid w:val="007E5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8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886"/>
    <w:rPr>
      <w:b/>
      <w:color w:val="660033"/>
      <w:spacing w:val="0"/>
    </w:rPr>
  </w:style>
  <w:style w:type="paragraph" w:customStyle="1" w:styleId="Nameditemlist">
    <w:name w:val="Named item list"/>
    <w:basedOn w:val="BodyText"/>
    <w:qFormat/>
    <w:rsid w:val="007E5886"/>
    <w:pPr>
      <w:tabs>
        <w:tab w:val="left" w:pos="2835"/>
      </w:tabs>
      <w:ind w:left="2835" w:hanging="2835"/>
    </w:pPr>
  </w:style>
  <w:style w:type="paragraph" w:customStyle="1" w:styleId="BodyTextnopadding">
    <w:name w:val="Body Text no padding"/>
    <w:basedOn w:val="BodyText"/>
    <w:qFormat/>
    <w:rsid w:val="007E5886"/>
    <w:pPr>
      <w:spacing w:before="0" w:after="0"/>
    </w:pPr>
  </w:style>
  <w:style w:type="paragraph" w:customStyle="1" w:styleId="BodyTextBold">
    <w:name w:val="Body Text Bold"/>
    <w:basedOn w:val="BodyText"/>
    <w:qFormat/>
    <w:rsid w:val="007E5886"/>
    <w:rPr>
      <w:b/>
    </w:rPr>
  </w:style>
  <w:style w:type="character" w:styleId="Hyperlink">
    <w:name w:val="Hyperlink"/>
    <w:basedOn w:val="DefaultParagraphFont"/>
    <w:uiPriority w:val="99"/>
    <w:unhideWhenUsed/>
    <w:rsid w:val="00F44C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6021</Characters>
  <Application>Microsoft Office Word</Application>
  <DocSecurity>0</DocSecurity>
  <Lines>172</Lines>
  <Paragraphs>101</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MEM234030 Provide specialised technical and engineering guidance to other technical employees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