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C15" w:rsidP="00861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MEM234029 Produce and manage technical publications</w:t>
      </w:r>
      <w:r>
        <w:fldChar w:fldCharType="end"/>
      </w:r>
    </w:p>
    <w:p w:rsidR="00861C15" w:rsidP="00861C15">
      <w:pPr>
        <w:pStyle w:val="Version"/>
        <w:sectPr w:rsidSect="0050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B87" w:rsidP="00505B87">
      <w:pPr>
        <w:pStyle w:val="SuperHeading"/>
      </w:pPr>
      <w:r w:rsidRPr="00505B87">
        <w:t>MEM234029 Produce and manage technical publications</w:t>
      </w:r>
    </w:p>
    <w:p w:rsidR="00000000" w:rsidRPr="00505B87" w:rsidP="00505B87">
      <w:pPr>
        <w:pStyle w:val="Heading1"/>
      </w:pPr>
      <w:bookmarkStart w:id="1" w:name="O_945297"/>
      <w:bookmarkEnd w:id="1"/>
      <w:r w:rsidRPr="00505B87">
        <w:t>Modification History</w:t>
      </w:r>
    </w:p>
    <w:p w:rsidR="00000000" w:rsidRPr="00505B87" w:rsidP="00861C15">
      <w:pPr>
        <w:pStyle w:val="BodyText"/>
      </w:pPr>
      <w:r w:rsidRPr="00505B87">
        <w:t>Release 1. Supersedes and is equivalent to MEM234029A Produce and manage technical publications.</w:t>
      </w:r>
    </w:p>
    <w:p w:rsidR="00000000" w:rsidRPr="00505B87" w:rsidP="00505B87">
      <w:pPr>
        <w:pStyle w:val="Heading1"/>
      </w:pPr>
      <w:bookmarkStart w:id="2" w:name="O_945305"/>
      <w:bookmarkEnd w:id="2"/>
      <w:r w:rsidRPr="00505B87">
        <w:t>Application</w:t>
      </w:r>
    </w:p>
    <w:p w:rsidR="00000000" w:rsidRPr="00505B87" w:rsidP="00861C15">
      <w:pPr>
        <w:pStyle w:val="BodyText"/>
      </w:pPr>
      <w:r w:rsidRPr="00505B87">
        <w:t>This unit of competency defines engineering skills and knowledge required to develop and produce engi</w:t>
      </w:r>
      <w:r w:rsidRPr="00505B87">
        <w:t>neering-related technical publications and to manage publications for use within an organisation and by downstream users including contractors and final customers.</w:t>
      </w:r>
    </w:p>
    <w:p w:rsidR="00000000" w:rsidRPr="00505B87" w:rsidP="00861C15">
      <w:pPr>
        <w:pStyle w:val="BodyText"/>
      </w:pPr>
      <w:r w:rsidRPr="00505B87">
        <w:t xml:space="preserve">Applications include workshop manuals, operating instructions, parts catalogues, procedures </w:t>
      </w:r>
      <w:r w:rsidRPr="00505B87">
        <w:t>manuals and related technical publications.</w:t>
      </w:r>
    </w:p>
    <w:p w:rsidR="00000000" w:rsidRPr="00505B87" w:rsidP="00861C15">
      <w:pPr>
        <w:pStyle w:val="BodyText"/>
      </w:pPr>
      <w:r w:rsidRPr="00505B87">
        <w:t>No licensing, legislative or certification requirements apply to this unit at the time of publication.</w:t>
      </w:r>
    </w:p>
    <w:p w:rsidR="00000000" w:rsidRPr="00505B87" w:rsidP="00505B87">
      <w:pPr>
        <w:pStyle w:val="Heading1"/>
      </w:pPr>
      <w:bookmarkStart w:id="3" w:name="O_945304"/>
      <w:bookmarkEnd w:id="3"/>
      <w:r w:rsidRPr="00505B87">
        <w:t>Pre-requisite Unit</w:t>
      </w:r>
    </w:p>
    <w:p w:rsidR="00000000" w:rsidRPr="00505B87" w:rsidP="00861C15">
      <w:pPr>
        <w:pStyle w:val="BodyText"/>
      </w:pPr>
      <w:r w:rsidRPr="00505B87">
        <w:t>Nil</w:t>
      </w:r>
    </w:p>
    <w:p w:rsidR="00000000" w:rsidRPr="00505B87" w:rsidP="00505B87">
      <w:pPr>
        <w:pStyle w:val="Heading1"/>
      </w:pPr>
      <w:bookmarkStart w:id="4" w:name="O_945303"/>
      <w:bookmarkEnd w:id="4"/>
      <w:r w:rsidRPr="00505B87">
        <w:t>Competency Field</w:t>
      </w:r>
    </w:p>
    <w:p w:rsidR="00000000" w:rsidRPr="00505B87" w:rsidP="00861C15">
      <w:pPr>
        <w:pStyle w:val="BodyText"/>
      </w:pPr>
      <w:r w:rsidRPr="00505B87">
        <w:t>Engineering science</w:t>
      </w:r>
    </w:p>
    <w:p w:rsidR="00000000" w:rsidRPr="00505B87" w:rsidP="00505B87">
      <w:pPr>
        <w:pStyle w:val="Heading1"/>
      </w:pPr>
      <w:bookmarkStart w:id="5" w:name="O_945301"/>
      <w:bookmarkEnd w:id="5"/>
      <w:r w:rsidRPr="00505B8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rPr>
                <w:rStyle w:val="SpecialBold"/>
              </w:rPr>
              <w:t>Performance Criteria</w:t>
            </w:r>
          </w:p>
        </w:tc>
      </w:tr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rPr>
                <w:rStyle w:val="Emphasis"/>
              </w:rPr>
              <w:t xml:space="preserve">Elements describe the </w:t>
            </w:r>
            <w:r w:rsidRPr="00505B87">
              <w:t xml:space="preserve">essential </w:t>
            </w:r>
            <w:r w:rsidRPr="00505B8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1. Develop technical publications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t>1.1 Identify the requirement for technical publications</w:t>
            </w:r>
          </w:p>
          <w:p w:rsidR="00000000" w:rsidRPr="00505B87" w:rsidP="00505B87">
            <w:pPr>
              <w:pStyle w:val="BodyText"/>
            </w:pPr>
            <w:r w:rsidRPr="00505B87">
              <w:t>1.2 Determine the required medium, style and layout</w:t>
            </w:r>
          </w:p>
          <w:p w:rsidR="00000000" w:rsidRPr="00505B87" w:rsidP="00505B87">
            <w:pPr>
              <w:pStyle w:val="BodyText"/>
            </w:pPr>
            <w:r w:rsidRPr="00505B87">
              <w:t>1.3 Obtain or access relevant data</w:t>
            </w:r>
          </w:p>
          <w:p w:rsidR="00000000" w:rsidRPr="00505B87" w:rsidP="00505B87">
            <w:pPr>
              <w:pStyle w:val="BodyText"/>
            </w:pPr>
            <w:r w:rsidRPr="00505B87">
              <w:t>1.4 Identify potential problems and consult relevant experts involved in product engineering design and/or produc</w:t>
            </w:r>
            <w:r w:rsidRPr="00505B87">
              <w:t>tion</w:t>
            </w:r>
          </w:p>
          <w:p w:rsidR="00000000" w:rsidRPr="00505B87" w:rsidP="00505B87">
            <w:pPr>
              <w:pStyle w:val="BodyText"/>
            </w:pPr>
            <w:r w:rsidRPr="00505B87">
              <w:t>1.5 Determine resolution strategies</w:t>
            </w:r>
          </w:p>
          <w:p w:rsidR="00000000" w:rsidRPr="00505B87" w:rsidP="00505B87">
            <w:pPr>
              <w:pStyle w:val="BodyText"/>
            </w:pPr>
            <w:r w:rsidRPr="00505B87">
              <w:t xml:space="preserve">1.6 Draft the publication using relevant guidelines and specified or </w:t>
            </w:r>
            <w:r w:rsidRPr="00505B87">
              <w:t>selected software package</w:t>
            </w:r>
          </w:p>
          <w:p w:rsidR="00000000" w:rsidRPr="00505B87" w:rsidP="00505B87">
            <w:pPr>
              <w:pStyle w:val="BodyText"/>
            </w:pPr>
            <w:r w:rsidRPr="00505B87">
              <w:t>1.7 Select required graphics and prepare illustrator briefs to meet requirements</w:t>
            </w:r>
          </w:p>
          <w:p w:rsidR="00000000" w:rsidRPr="00505B87" w:rsidP="00505B87">
            <w:pPr>
              <w:pStyle w:val="BodyText"/>
            </w:pPr>
            <w:r w:rsidRPr="00505B87">
              <w:t>1.8 Observe copyright legislation</w:t>
            </w:r>
          </w:p>
          <w:p w:rsidR="00000000" w:rsidRPr="00505B87" w:rsidP="00505B87">
            <w:pPr>
              <w:pStyle w:val="BodyText"/>
            </w:pPr>
            <w:r w:rsidRPr="00505B87">
              <w:t>1.9 I</w:t>
            </w:r>
            <w:r w:rsidRPr="00505B87">
              <w:t>nsert completed graphics into the draft and add annotations and/or labels</w:t>
            </w:r>
          </w:p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1.10 Prepare the draft for publication and submit for editorial review</w:t>
            </w:r>
          </w:p>
        </w:tc>
      </w:tr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2. Produce and distribute technical publications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t>2.1 Submit proof copy of the publication or publication amend</w:t>
            </w:r>
            <w:r w:rsidRPr="00505B87">
              <w:t>ment for client acceptance</w:t>
            </w:r>
          </w:p>
          <w:p w:rsidR="00000000" w:rsidRPr="00505B87" w:rsidP="00505B87">
            <w:pPr>
              <w:pStyle w:val="BodyText"/>
            </w:pPr>
            <w:r w:rsidRPr="00505B87">
              <w:t>2.2 Arrange publication in accordance with workplace procedures</w:t>
            </w:r>
          </w:p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2.3 Update distribution records, as required, and arrange delivery or distribution of the completed publication</w:t>
            </w:r>
          </w:p>
        </w:tc>
      </w:tr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3. Manage the amendment of technical publications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t>3.1 Identify the need for publication amendment action</w:t>
            </w:r>
          </w:p>
          <w:p w:rsidR="00000000" w:rsidRPr="00505B87" w:rsidP="00505B87">
            <w:pPr>
              <w:pStyle w:val="BodyText"/>
            </w:pPr>
            <w:r w:rsidRPr="00505B87">
              <w:t>3.2 Initiate amendment action in line with identified need</w:t>
            </w:r>
          </w:p>
          <w:p w:rsidR="00000000" w:rsidRPr="00505B87" w:rsidP="00505B87">
            <w:pPr>
              <w:pStyle w:val="BodyText"/>
            </w:pPr>
            <w:r w:rsidRPr="00505B87">
              <w:t>3.3 Produce or edit draft amendments</w:t>
            </w:r>
          </w:p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3.4 Arrange production and distribution of amendments in accordance with workplace procedures</w:t>
            </w:r>
          </w:p>
        </w:tc>
      </w:tr>
      <w:tr w:rsidTr="00861C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 xml:space="preserve">4. Manage </w:t>
            </w:r>
            <w:r w:rsidRPr="00505B87">
              <w:t>the distribution and control of technical publications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BodyText"/>
            </w:pPr>
            <w:r w:rsidRPr="00505B87">
              <w:t>4.1 Establish a publication distribution and amendment control system</w:t>
            </w:r>
          </w:p>
          <w:p w:rsidR="00000000" w:rsidRPr="00505B87" w:rsidP="00505B87">
            <w:pPr>
              <w:pStyle w:val="BodyText"/>
            </w:pPr>
            <w:r w:rsidRPr="00505B87">
              <w:t>4.2 Manage publications in accordance with regulatory requirements, and organisational policies and procedures</w:t>
            </w:r>
          </w:p>
          <w:p w:rsidR="00000000" w:rsidRPr="00505B87" w:rsidP="00505B87">
            <w:pPr>
              <w:pStyle w:val="BodyText"/>
            </w:pPr>
            <w:r w:rsidRPr="00505B87">
              <w:t>4.3 Monitor the oper</w:t>
            </w:r>
            <w:r w:rsidRPr="00505B87">
              <w:t>ation of the publication distribution and control system</w:t>
            </w:r>
          </w:p>
        </w:tc>
      </w:tr>
    </w:tbl>
    <w:p w:rsidR="00000000" w:rsidRPr="00505B87" w:rsidP="00505B87">
      <w:pPr>
        <w:pStyle w:val="BodyText"/>
      </w:pPr>
    </w:p>
    <w:p w:rsidR="00000000" w:rsidRPr="00505B87" w:rsidP="00505B87">
      <w:pPr>
        <w:pStyle w:val="AllowPageBreak"/>
      </w:pPr>
    </w:p>
    <w:p w:rsidR="00000000" w:rsidRPr="00505B87" w:rsidP="00505B87">
      <w:pPr>
        <w:pStyle w:val="Heading1"/>
      </w:pPr>
      <w:bookmarkStart w:id="6" w:name="O_945300"/>
      <w:bookmarkEnd w:id="6"/>
      <w:r w:rsidRPr="00505B87">
        <w:t>Foundation Skills</w:t>
      </w:r>
    </w:p>
    <w:p w:rsidR="00000000" w:rsidRPr="00505B87" w:rsidP="00861C15">
      <w:pPr>
        <w:pStyle w:val="BodyText"/>
      </w:pPr>
      <w:r w:rsidRPr="00505B87">
        <w:t>This section describes those language, literacy, numeracy and employment skills that are essential to performance.</w:t>
      </w:r>
    </w:p>
    <w:p w:rsidR="00000000" w:rsidRPr="00505B87" w:rsidP="00861C15">
      <w:pPr>
        <w:pStyle w:val="BodyText"/>
      </w:pPr>
      <w:r w:rsidRPr="00505B87">
        <w:t xml:space="preserve">Foundation skills essential to performance are </w:t>
      </w:r>
      <w:r w:rsidRPr="00505B87">
        <w:t>explicit in the performance criteria of this unit of competency.</w:t>
      </w:r>
    </w:p>
    <w:p w:rsidR="00000000" w:rsidRPr="00505B87" w:rsidP="00505B87">
      <w:pPr>
        <w:pStyle w:val="Heading1"/>
      </w:pPr>
      <w:bookmarkStart w:id="7" w:name="O_945299"/>
      <w:bookmarkEnd w:id="7"/>
      <w:r w:rsidRPr="00505B8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 xml:space="preserve">This field allows for different work environments and conditions that may affect performance. Essential operating conditions that may be present </w:t>
            </w:r>
            <w:r w:rsidRPr="00505B87">
              <w:t>(depending on the work situation, needs of the candidate, accessibility of the item, and local industry and regional contexts) are included.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Technical publications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workshop and procedures manuals</w:t>
            </w:r>
          </w:p>
          <w:p w:rsidR="00000000" w:rsidRPr="00505B87" w:rsidP="00505B87">
            <w:pPr>
              <w:pStyle w:val="ListBullet"/>
            </w:pPr>
            <w:r w:rsidRPr="00505B87">
              <w:t>operating instructions</w:t>
            </w:r>
          </w:p>
          <w:p w:rsidR="00000000" w:rsidRPr="00505B87" w:rsidP="00505B87">
            <w:pPr>
              <w:pStyle w:val="ListBullet"/>
            </w:pPr>
            <w:r w:rsidRPr="00505B87">
              <w:t>assembly instructions</w:t>
            </w:r>
          </w:p>
          <w:p w:rsidR="00000000" w:rsidRPr="00505B87" w:rsidP="00505B87">
            <w:pPr>
              <w:pStyle w:val="ListBullet"/>
            </w:pPr>
            <w:r w:rsidRPr="00505B87">
              <w:t>par</w:t>
            </w:r>
            <w:r w:rsidRPr="00505B87">
              <w:t>ts catalogues</w:t>
            </w:r>
          </w:p>
          <w:p w:rsidR="00000000" w:rsidRPr="00505B87" w:rsidP="00505B87">
            <w:pPr>
              <w:pStyle w:val="ListBullet"/>
            </w:pPr>
            <w:r w:rsidRPr="00505B87">
              <w:t>technical specifications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technical brochures for sales and marketing.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Required medium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print-based</w:t>
            </w:r>
          </w:p>
          <w:p w:rsidR="00000000" w:rsidRPr="00505B87" w:rsidP="00505B87">
            <w:pPr>
              <w:pStyle w:val="ListBullet"/>
            </w:pPr>
            <w:r w:rsidRPr="00505B87">
              <w:t>digital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microfiche.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Style and layout are determined by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an applicable style guide</w:t>
            </w:r>
          </w:p>
          <w:p w:rsidR="00000000" w:rsidRPr="00505B87" w:rsidP="00505B87">
            <w:pPr>
              <w:pStyle w:val="ListBullet"/>
            </w:pPr>
            <w:r w:rsidRPr="00505B87">
              <w:t>contract requirements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industry standards and specifications.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Relevant data 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design and production data and drawings</w:t>
            </w:r>
          </w:p>
          <w:p w:rsidR="00000000" w:rsidRPr="00505B87" w:rsidP="00505B87">
            <w:pPr>
              <w:pStyle w:val="ListBullet"/>
            </w:pPr>
            <w:r w:rsidRPr="00505B87">
              <w:t>parts and materials listings</w:t>
            </w:r>
          </w:p>
          <w:p w:rsidR="00000000" w:rsidRPr="00505B87" w:rsidP="00505B87">
            <w:pPr>
              <w:pStyle w:val="ListBullet"/>
            </w:pPr>
            <w:r w:rsidRPr="00505B87">
              <w:t>engineering specifications</w:t>
            </w:r>
          </w:p>
          <w:p w:rsidR="00000000" w:rsidRPr="00505B87" w:rsidP="00505B87">
            <w:pPr>
              <w:pStyle w:val="ListBullet"/>
            </w:pPr>
            <w:r w:rsidRPr="00505B87">
              <w:t>operating procedure documentation</w:t>
            </w:r>
          </w:p>
          <w:p w:rsidR="00000000" w:rsidRPr="00505B87" w:rsidP="00505B87">
            <w:pPr>
              <w:pStyle w:val="ListBullet"/>
            </w:pPr>
            <w:r w:rsidRPr="00505B87">
              <w:t>compon</w:t>
            </w:r>
            <w:r w:rsidRPr="00505B87">
              <w:t>ent assembly procedures</w:t>
            </w:r>
          </w:p>
          <w:p w:rsidR="00000000" w:rsidRPr="00505B87" w:rsidP="00505B87">
            <w:pPr>
              <w:pStyle w:val="ListBullet"/>
            </w:pPr>
            <w:r w:rsidRPr="00505B87">
              <w:t>maintenance schedules</w:t>
            </w:r>
          </w:p>
          <w:p w:rsidR="00000000" w:rsidRPr="00505B87" w:rsidP="00505B87">
            <w:pPr>
              <w:pStyle w:val="ListBullet"/>
            </w:pPr>
            <w:r w:rsidRPr="00505B87">
              <w:t>manufacturer and trade catalogues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relevant legislation and regulations.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Relevant experts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client</w:t>
            </w:r>
          </w:p>
          <w:p w:rsidR="00000000" w:rsidRPr="00505B87" w:rsidP="00505B87">
            <w:pPr>
              <w:pStyle w:val="ListBullet"/>
            </w:pPr>
            <w:r w:rsidRPr="00505B87">
              <w:t>design engineers and staff</w:t>
            </w:r>
          </w:p>
          <w:p w:rsidR="00000000" w:rsidRPr="00505B87" w:rsidP="00505B87">
            <w:pPr>
              <w:pStyle w:val="ListBullet"/>
            </w:pPr>
            <w:r w:rsidRPr="00505B87">
              <w:t>production staff</w:t>
            </w:r>
          </w:p>
          <w:p w:rsidR="00000000" w:rsidRPr="00505B87" w:rsidP="00505B87">
            <w:pPr>
              <w:pStyle w:val="ListBullet"/>
            </w:pPr>
            <w:r w:rsidRPr="00505B87">
              <w:t>maintenance managers and staff</w:t>
            </w:r>
          </w:p>
          <w:p w:rsidR="00000000" w:rsidRPr="00505B87" w:rsidP="00505B87">
            <w:pPr>
              <w:pStyle w:val="ListBullet"/>
            </w:pPr>
            <w:r w:rsidRPr="00505B87">
              <w:t>component and material suppliers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regulator representatives.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Requirement for publication amendment action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publication user feedback</w:t>
            </w:r>
          </w:p>
          <w:p w:rsidR="00000000" w:rsidRPr="00505B87" w:rsidP="00505B87">
            <w:pPr>
              <w:pStyle w:val="ListBullet"/>
            </w:pPr>
            <w:r w:rsidRPr="00505B87">
              <w:t>modifications to systems or components</w:t>
            </w:r>
          </w:p>
          <w:p w:rsidR="00000000" w:rsidRPr="00505B87" w:rsidP="00505B87">
            <w:pPr>
              <w:pStyle w:val="ListBullet"/>
            </w:pPr>
            <w:r w:rsidRPr="00505B87">
              <w:t>test procedure development or refinement</w:t>
            </w:r>
          </w:p>
          <w:p w:rsidR="00000000" w:rsidRPr="00505B87" w:rsidP="00505B87">
            <w:pPr>
              <w:pStyle w:val="ListBullet"/>
            </w:pPr>
            <w:r w:rsidRPr="00505B87">
              <w:t>quality system audits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compliance with regulatory requirements.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Editing process includes checking: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compliance with the style guide</w:t>
            </w:r>
          </w:p>
          <w:p w:rsidR="00000000" w:rsidRPr="00505B87" w:rsidP="00505B87">
            <w:pPr>
              <w:pStyle w:val="ListBullet"/>
            </w:pPr>
            <w:r w:rsidRPr="00505B87">
              <w:t>completeness and ease of understanding</w:t>
            </w:r>
          </w:p>
          <w:p w:rsidR="00000000" w:rsidRPr="00505B87" w:rsidP="00505B87">
            <w:pPr>
              <w:pStyle w:val="ListBullet"/>
            </w:pPr>
            <w:r w:rsidRPr="00505B87">
              <w:t>appropriate use of graphics</w:t>
            </w:r>
          </w:p>
          <w:p w:rsidR="00000000" w:rsidRPr="00505B87" w:rsidP="00505B87">
            <w:pPr>
              <w:pStyle w:val="ListBullet"/>
            </w:pPr>
            <w:r w:rsidRPr="00505B87">
              <w:t>observance of applicable regulations and legislation including copyright</w:t>
            </w:r>
          </w:p>
          <w:p w:rsidR="00000000" w:rsidRPr="00505B87" w:rsidP="00505B87">
            <w:pPr>
              <w:pStyle w:val="ListBullet"/>
            </w:pPr>
            <w:r w:rsidRPr="00505B87">
              <w:t xml:space="preserve">final </w:t>
            </w:r>
            <w:r w:rsidRPr="00505B87">
              <w:t>draft mark-up for desktop publishing</w:t>
            </w:r>
          </w:p>
          <w:p w:rsidR="00000000" w:rsidP="00505B87">
            <w:pPr>
              <w:pStyle w:val="ListBullet"/>
              <w:rPr>
                <w:lang w:val="en-NZ"/>
              </w:rPr>
            </w:pPr>
            <w:r w:rsidRPr="00505B87">
              <w:t>application of version control procedures.</w:t>
            </w:r>
          </w:p>
        </w:tc>
      </w:tr>
      <w:tr w:rsidTr="00505B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87">
            <w:pPr>
              <w:pStyle w:val="BodyText"/>
              <w:rPr>
                <w:lang w:val="en-NZ"/>
              </w:rPr>
            </w:pPr>
            <w:r w:rsidRPr="00505B87">
              <w:t>Sources of regulatory requirements, and organisational policies and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87" w:rsidP="00505B87">
            <w:pPr>
              <w:pStyle w:val="ListBullet"/>
            </w:pPr>
            <w:r w:rsidRPr="00505B87">
              <w:t>organisational policy manuals</w:t>
            </w:r>
          </w:p>
          <w:p w:rsidR="00000000" w:rsidRPr="00505B87" w:rsidP="00505B87">
            <w:pPr>
              <w:pStyle w:val="ListBullet"/>
            </w:pPr>
            <w:r w:rsidRPr="00505B87">
              <w:t>procedures and quality manuals</w:t>
            </w:r>
          </w:p>
          <w:p w:rsidR="00000000" w:rsidRPr="00505B87" w:rsidP="00505B87">
            <w:pPr>
              <w:pStyle w:val="ListBullet"/>
            </w:pPr>
            <w:r w:rsidRPr="00505B87">
              <w:t>Commonwealth and state/te</w:t>
            </w:r>
            <w:r w:rsidRPr="00505B87">
              <w:t>rritory legislation and regulations in areas including work health and safety (WHS) and environmental protection</w:t>
            </w:r>
          </w:p>
          <w:p w:rsidR="00000000" w:rsidRPr="00505B87" w:rsidP="00505B87">
            <w:pPr>
              <w:pStyle w:val="ListBullet"/>
            </w:pPr>
            <w:r w:rsidRPr="00505B87">
              <w:t>sustainability requirements.</w:t>
            </w:r>
          </w:p>
        </w:tc>
      </w:tr>
    </w:tbl>
    <w:p w:rsidR="00000000" w:rsidRPr="00505B87" w:rsidP="00505B87">
      <w:pPr>
        <w:pStyle w:val="BodyText"/>
      </w:pPr>
    </w:p>
    <w:p w:rsidR="00000000" w:rsidRPr="00505B87" w:rsidP="00505B87">
      <w:pPr>
        <w:pStyle w:val="AllowPageBreak"/>
      </w:pPr>
    </w:p>
    <w:p w:rsidR="00000000" w:rsidRPr="00505B87" w:rsidP="00505B87">
      <w:pPr>
        <w:pStyle w:val="Heading1"/>
      </w:pPr>
      <w:bookmarkStart w:id="8" w:name="O_945298"/>
      <w:bookmarkEnd w:id="8"/>
      <w:r w:rsidRPr="00505B87">
        <w:t>Unit Mapping Information</w:t>
      </w:r>
    </w:p>
    <w:p w:rsidR="00000000" w:rsidRPr="00505B87" w:rsidP="00861C15">
      <w:pPr>
        <w:pStyle w:val="BodyText"/>
      </w:pPr>
      <w:r w:rsidRPr="00505B87">
        <w:t>Release 1. Supersedes and is equivalent to MEM234029A Produce and manage technical publications.</w:t>
      </w:r>
    </w:p>
    <w:p w:rsidR="00000000" w:rsidRPr="00505B87" w:rsidP="00505B87">
      <w:pPr>
        <w:pStyle w:val="Heading1"/>
      </w:pPr>
      <w:bookmarkStart w:id="9" w:name="O_945291"/>
      <w:bookmarkEnd w:id="9"/>
      <w:r w:rsidRPr="00505B87">
        <w:t>Links</w:t>
      </w:r>
    </w:p>
    <w:p w:rsidR="00000000" w:rsidRPr="00505B87" w:rsidP="00861C15">
      <w:pPr>
        <w:pStyle w:val="BodyText"/>
      </w:pPr>
      <w:r w:rsidRPr="00505B87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158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05B87" w:rsidP="00505B87"/>
    <w:sectPr w:rsidSect="00505B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87" w:rsidRPr="00861C15" w:rsidP="00861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15" w:rsidP="0050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C15" w:rsidP="0050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1C15" w:rsidP="0050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B87" w:rsidRPr="00861C15" w:rsidP="00861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15" w:rsidRPr="002D2AF8" w:rsidP="0050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MEM234029 Produce and manage technical publications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61C15" w:rsidP="0050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B49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29B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B87"/>
  </w:style>
  <w:style w:type="character" w:customStyle="1" w:styleId="Heading1Char">
    <w:name w:val="Heading 1 Char"/>
    <w:basedOn w:val="DefaultParagraphFont"/>
    <w:link w:val="Heading1"/>
    <w:rsid w:val="0050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B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B87"/>
    <w:rPr>
      <w:b/>
      <w:spacing w:val="0"/>
    </w:rPr>
  </w:style>
  <w:style w:type="character" w:styleId="Emphasis">
    <w:name w:val="Emphasis"/>
    <w:basedOn w:val="DefaultParagraphFont"/>
    <w:qFormat/>
    <w:rsid w:val="00505B87"/>
    <w:rPr>
      <w:i/>
    </w:rPr>
  </w:style>
  <w:style w:type="paragraph" w:customStyle="1" w:styleId="SuperHeading">
    <w:name w:val="SuperHeading"/>
    <w:basedOn w:val="Normal"/>
    <w:rsid w:val="0050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B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B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B87"/>
  </w:style>
  <w:style w:type="paragraph" w:styleId="TableofFigures">
    <w:name w:val="table of figures"/>
    <w:basedOn w:val="Normal"/>
    <w:next w:val="Normal"/>
    <w:semiHidden/>
    <w:rsid w:val="0050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B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B87"/>
    <w:rPr>
      <w:rFonts w:ascii="Wingdings" w:hAnsi="Wingdings"/>
    </w:rPr>
  </w:style>
  <w:style w:type="paragraph" w:customStyle="1" w:styleId="TableHeading">
    <w:name w:val="Table Heading"/>
    <w:basedOn w:val="HeadingBase"/>
    <w:rsid w:val="00505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B87"/>
    <w:rPr>
      <w:color w:val="0033CC"/>
      <w:u w:val="none"/>
    </w:rPr>
  </w:style>
  <w:style w:type="paragraph" w:customStyle="1" w:styleId="BodyTextRight">
    <w:name w:val="Body Text Right"/>
    <w:basedOn w:val="BodyText"/>
    <w:rsid w:val="0050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B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B87"/>
    <w:rPr>
      <w:sz w:val="32"/>
    </w:rPr>
  </w:style>
  <w:style w:type="paragraph" w:customStyle="1" w:styleId="HeadingProcedure">
    <w:name w:val="Heading Procedure"/>
    <w:basedOn w:val="HeadingBase"/>
    <w:next w:val="Normal"/>
    <w:rsid w:val="0050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B87"/>
    <w:pPr>
      <w:spacing w:before="60" w:after="60"/>
    </w:pPr>
  </w:style>
  <w:style w:type="paragraph" w:styleId="ListContinue">
    <w:name w:val="List Continue"/>
    <w:basedOn w:val="List"/>
    <w:rsid w:val="00505B87"/>
    <w:pPr>
      <w:ind w:firstLine="0"/>
    </w:pPr>
  </w:style>
  <w:style w:type="paragraph" w:customStyle="1" w:styleId="ListNote">
    <w:name w:val="List Note"/>
    <w:basedOn w:val="List"/>
    <w:rsid w:val="0050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B87"/>
    <w:rPr>
      <w:rFonts w:ascii="Courier New" w:hAnsi="Courier New"/>
    </w:rPr>
  </w:style>
  <w:style w:type="paragraph" w:customStyle="1" w:styleId="NoteBullet">
    <w:name w:val="Note Bullet"/>
    <w:basedOn w:val="Note"/>
    <w:rsid w:val="0050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B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B87"/>
    <w:rPr>
      <w:b/>
      <w:smallCaps/>
    </w:rPr>
  </w:style>
  <w:style w:type="paragraph" w:customStyle="1" w:styleId="TableListNumber">
    <w:name w:val="Table List Number"/>
    <w:basedOn w:val="ListNumber"/>
    <w:rsid w:val="0050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B87"/>
    <w:pPr>
      <w:numPr>
        <w:numId w:val="8"/>
      </w:numPr>
    </w:pPr>
  </w:style>
  <w:style w:type="paragraph" w:customStyle="1" w:styleId="ListAlpha2">
    <w:name w:val="List Alpha 2"/>
    <w:basedOn w:val="List2"/>
    <w:rsid w:val="00505B87"/>
    <w:pPr>
      <w:numPr>
        <w:numId w:val="7"/>
      </w:numPr>
    </w:pPr>
  </w:style>
  <w:style w:type="paragraph" w:styleId="List2">
    <w:name w:val="List 2"/>
    <w:basedOn w:val="BodyText"/>
    <w:rsid w:val="0050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B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B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B87"/>
    <w:pPr>
      <w:numPr>
        <w:numId w:val="3"/>
      </w:numPr>
    </w:pPr>
  </w:style>
  <w:style w:type="paragraph" w:styleId="ListContinue2">
    <w:name w:val="List Continue 2"/>
    <w:basedOn w:val="List2"/>
    <w:rsid w:val="00505B87"/>
    <w:pPr>
      <w:ind w:firstLine="0"/>
    </w:pPr>
  </w:style>
  <w:style w:type="paragraph" w:styleId="ListContinue3">
    <w:name w:val="List Continue 3"/>
    <w:basedOn w:val="List3"/>
    <w:rsid w:val="00505B87"/>
    <w:pPr>
      <w:ind w:left="1021" w:firstLine="0"/>
    </w:pPr>
  </w:style>
  <w:style w:type="paragraph" w:styleId="ListContinue4">
    <w:name w:val="List Continue 4"/>
    <w:basedOn w:val="List4"/>
    <w:rsid w:val="00505B87"/>
    <w:pPr>
      <w:ind w:firstLine="0"/>
    </w:pPr>
  </w:style>
  <w:style w:type="paragraph" w:styleId="ListContinue5">
    <w:name w:val="List Continue 5"/>
    <w:basedOn w:val="List5"/>
    <w:rsid w:val="00505B87"/>
    <w:pPr>
      <w:ind w:firstLine="0"/>
    </w:pPr>
  </w:style>
  <w:style w:type="paragraph" w:styleId="ListNumber3">
    <w:name w:val="List Number 3"/>
    <w:basedOn w:val="List3"/>
    <w:rsid w:val="00505B87"/>
    <w:pPr>
      <w:numPr>
        <w:numId w:val="4"/>
      </w:numPr>
    </w:pPr>
  </w:style>
  <w:style w:type="paragraph" w:styleId="ListNumber4">
    <w:name w:val="List Number 4"/>
    <w:basedOn w:val="List4"/>
    <w:rsid w:val="00505B87"/>
    <w:pPr>
      <w:numPr>
        <w:numId w:val="5"/>
      </w:numPr>
    </w:pPr>
  </w:style>
  <w:style w:type="paragraph" w:styleId="ListNumber5">
    <w:name w:val="List Number 5"/>
    <w:basedOn w:val="List5"/>
    <w:rsid w:val="00505B87"/>
    <w:pPr>
      <w:numPr>
        <w:numId w:val="6"/>
      </w:numPr>
    </w:pPr>
  </w:style>
  <w:style w:type="paragraph" w:styleId="BlockText">
    <w:name w:val="Block Text"/>
    <w:basedOn w:val="Normal"/>
    <w:rsid w:val="0050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B87"/>
    <w:rPr>
      <w:sz w:val="16"/>
      <w:vertAlign w:val="superscript"/>
    </w:rPr>
  </w:style>
  <w:style w:type="character" w:customStyle="1" w:styleId="Symbols">
    <w:name w:val="Symbols"/>
    <w:basedOn w:val="DefaultParagraphFont"/>
    <w:rsid w:val="00505B87"/>
    <w:rPr>
      <w:rFonts w:ascii="Symbol" w:hAnsi="Symbol"/>
    </w:rPr>
  </w:style>
  <w:style w:type="character" w:customStyle="1" w:styleId="MenuOptions">
    <w:name w:val="Menu Options"/>
    <w:basedOn w:val="DefaultParagraphFont"/>
    <w:rsid w:val="0050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B87"/>
    <w:rPr>
      <w:b/>
    </w:rPr>
  </w:style>
  <w:style w:type="character" w:customStyle="1" w:styleId="Underlined">
    <w:name w:val="Underlined"/>
    <w:basedOn w:val="DefaultParagraphFont"/>
    <w:rsid w:val="00505B87"/>
    <w:rPr>
      <w:u w:val="single"/>
    </w:rPr>
  </w:style>
  <w:style w:type="paragraph" w:customStyle="1" w:styleId="TableBodyTextRight">
    <w:name w:val="Table Body Text Right"/>
    <w:basedOn w:val="TableBodyText"/>
    <w:rsid w:val="0050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B87"/>
    <w:rPr>
      <w:sz w:val="18"/>
    </w:rPr>
  </w:style>
  <w:style w:type="paragraph" w:customStyle="1" w:styleId="BodySmallRight">
    <w:name w:val="Body Small Right"/>
    <w:basedOn w:val="BodyTextRight"/>
    <w:rsid w:val="00505B87"/>
    <w:rPr>
      <w:sz w:val="18"/>
      <w:szCs w:val="18"/>
    </w:rPr>
  </w:style>
  <w:style w:type="paragraph" w:customStyle="1" w:styleId="MarginEdition">
    <w:name w:val="Margin Edition"/>
    <w:basedOn w:val="MarginNote"/>
    <w:rsid w:val="0050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B87"/>
    <w:rPr>
      <w:sz w:val="2"/>
      <w:szCs w:val="2"/>
    </w:rPr>
  </w:style>
  <w:style w:type="character" w:customStyle="1" w:styleId="Small">
    <w:name w:val="Small"/>
    <w:basedOn w:val="DefaultParagraphFont"/>
    <w:rsid w:val="00505B87"/>
    <w:rPr>
      <w:sz w:val="16"/>
    </w:rPr>
  </w:style>
  <w:style w:type="paragraph" w:customStyle="1" w:styleId="WideTable">
    <w:name w:val="Wide Table"/>
    <w:basedOn w:val="Normal"/>
    <w:rsid w:val="0050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B87"/>
  </w:style>
  <w:style w:type="paragraph" w:styleId="Quote">
    <w:name w:val="Quote"/>
    <w:basedOn w:val="Heading1"/>
    <w:link w:val="QuoteChar"/>
    <w:qFormat/>
    <w:rsid w:val="0050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B87"/>
    <w:pPr>
      <w:pageBreakBefore/>
    </w:pPr>
  </w:style>
  <w:style w:type="paragraph" w:customStyle="1" w:styleId="Border">
    <w:name w:val="Border"/>
    <w:basedOn w:val="Normal"/>
    <w:qFormat/>
    <w:rsid w:val="0050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B87"/>
    <w:rPr>
      <w:u w:val="single"/>
    </w:rPr>
  </w:style>
  <w:style w:type="character" w:customStyle="1" w:styleId="BoldandItalics">
    <w:name w:val="Bold and Italics"/>
    <w:qFormat/>
    <w:rsid w:val="00505B87"/>
    <w:rPr>
      <w:b/>
      <w:i/>
      <w:u w:val="none"/>
    </w:rPr>
  </w:style>
  <w:style w:type="paragraph" w:styleId="BalloonText">
    <w:name w:val="Balloon Text"/>
    <w:basedOn w:val="Normal"/>
    <w:link w:val="BalloonTextChar"/>
    <w:rsid w:val="0050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B87"/>
    <w:pPr>
      <w:spacing w:before="0" w:after="0"/>
    </w:pPr>
  </w:style>
  <w:style w:type="paragraph" w:customStyle="1" w:styleId="BodyTextBold">
    <w:name w:val="Body Text Bold"/>
    <w:basedOn w:val="BodyText"/>
    <w:qFormat/>
    <w:rsid w:val="00505B87"/>
    <w:rPr>
      <w:b/>
    </w:rPr>
  </w:style>
  <w:style w:type="character" w:styleId="Hyperlink">
    <w:name w:val="Hyperlink"/>
    <w:basedOn w:val="DefaultParagraphFont"/>
    <w:uiPriority w:val="99"/>
    <w:unhideWhenUsed/>
    <w:rsid w:val="00861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4698</Characters>
  <Application>Microsoft Office Word</Application>
  <DocSecurity>0</DocSecurity>
  <Lines>162</Lines>
  <Paragraphs>116</Paragraphs>
  <ScaleCrop>false</ScaleCrop>
  <Company>Author-it Software Corporation Ltd.</Company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MEM234029 Produce and manage technical publications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