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6F8" w:rsidP="005116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MEM234029 Produce and manage technical publications</w:t>
      </w:r>
      <w:r>
        <w:fldChar w:fldCharType="end"/>
      </w:r>
    </w:p>
    <w:p w:rsidR="005116F8" w:rsidP="005116F8">
      <w:pPr>
        <w:pStyle w:val="Version"/>
        <w:sectPr w:rsidSect="00C15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EE3" w:rsidP="00C15EE3">
      <w:pPr>
        <w:pStyle w:val="SuperHeading"/>
      </w:pPr>
      <w:r w:rsidRPr="00C15EE3">
        <w:t>Assessment Requirements for MEM234029 Produce and manage technical publications</w:t>
      </w:r>
    </w:p>
    <w:p w:rsidR="00000000" w:rsidRPr="00C15EE3" w:rsidP="00C15EE3">
      <w:pPr>
        <w:pStyle w:val="Heading1"/>
      </w:pPr>
      <w:bookmarkStart w:id="1" w:name="O_945293"/>
      <w:bookmarkEnd w:id="1"/>
      <w:r w:rsidRPr="00C15EE3">
        <w:t>Modification History</w:t>
      </w:r>
    </w:p>
    <w:p w:rsidR="00000000" w:rsidRPr="00C15EE3" w:rsidP="005116F8">
      <w:pPr>
        <w:pStyle w:val="BodyText"/>
      </w:pPr>
      <w:r w:rsidRPr="00C15EE3">
        <w:t>Release 1. Supersedes and is equivalent to MEM234029A Produce and manage technical publications.</w:t>
      </w:r>
    </w:p>
    <w:p w:rsidR="00000000" w:rsidRPr="00C15EE3" w:rsidP="00C15EE3">
      <w:pPr>
        <w:pStyle w:val="Heading1"/>
      </w:pPr>
      <w:bookmarkStart w:id="2" w:name="O_945296"/>
      <w:bookmarkEnd w:id="2"/>
      <w:r w:rsidRPr="00C15EE3">
        <w:t>Performance Evidence</w:t>
      </w:r>
    </w:p>
    <w:p w:rsidR="00000000" w:rsidRPr="00C15EE3" w:rsidP="005116F8">
      <w:pPr>
        <w:pStyle w:val="BodyText"/>
      </w:pPr>
      <w:r w:rsidRPr="00C15EE3">
        <w:t>Evidence required to demonstrate competence in this unit must be relevant to and satisfy the requirements of the elements and performance criteria and include:</w:t>
      </w:r>
    </w:p>
    <w:p w:rsidR="00000000" w:rsidRPr="00C15EE3" w:rsidP="00C15EE3">
      <w:pPr>
        <w:pStyle w:val="ListBullet"/>
      </w:pPr>
      <w:r w:rsidRPr="00C15EE3">
        <w:t>identifying requirements for drafting and amendment of technical publications</w:t>
      </w:r>
    </w:p>
    <w:p w:rsidR="00000000" w:rsidRPr="00C15EE3" w:rsidP="00C15EE3">
      <w:pPr>
        <w:pStyle w:val="ListBullet"/>
      </w:pPr>
      <w:r w:rsidRPr="00C15EE3">
        <w:t>conducting resear</w:t>
      </w:r>
      <w:r w:rsidRPr="00C15EE3">
        <w:t>ch and gathering required data from engineering records and relevant engineering staff and managers</w:t>
      </w:r>
    </w:p>
    <w:p w:rsidR="00000000" w:rsidRPr="00C15EE3" w:rsidP="00C15EE3">
      <w:pPr>
        <w:pStyle w:val="ListBullet"/>
      </w:pPr>
      <w:r w:rsidRPr="00C15EE3">
        <w:t>selecting appropriate publication media and publication style and format</w:t>
      </w:r>
    </w:p>
    <w:p w:rsidR="00000000" w:rsidRPr="00C15EE3" w:rsidP="00C15EE3">
      <w:pPr>
        <w:pStyle w:val="ListBullet"/>
      </w:pPr>
      <w:r w:rsidRPr="00C15EE3">
        <w:t>selecting and using word processing software and graphic packages to draft technica</w:t>
      </w:r>
      <w:r w:rsidRPr="00C15EE3">
        <w:t>l publications</w:t>
      </w:r>
    </w:p>
    <w:p w:rsidR="00000000" w:rsidRPr="00C15EE3" w:rsidP="00C15EE3">
      <w:pPr>
        <w:pStyle w:val="ListBullet"/>
      </w:pPr>
      <w:r w:rsidRPr="00C15EE3">
        <w:t>preparing illustrator briefings and observing copyright legislation</w:t>
      </w:r>
    </w:p>
    <w:p w:rsidR="00000000" w:rsidRPr="00C15EE3" w:rsidP="00C15EE3">
      <w:pPr>
        <w:pStyle w:val="ListBullet"/>
      </w:pPr>
      <w:r w:rsidRPr="00C15EE3">
        <w:t>preparing proof copies of publications and obtaining client approval on at least two occasions</w:t>
      </w:r>
    </w:p>
    <w:p w:rsidR="00000000" w:rsidRPr="00C15EE3" w:rsidP="00C15EE3">
      <w:pPr>
        <w:pStyle w:val="ListBullet"/>
      </w:pPr>
      <w:r w:rsidRPr="00C15EE3">
        <w:t>managing the production and devising distribution, amendment and version contr</w:t>
      </w:r>
      <w:r w:rsidRPr="00C15EE3">
        <w:t>ol systems on at least two occasions.</w:t>
      </w:r>
    </w:p>
    <w:p w:rsidR="00000000" w:rsidRPr="00C15EE3" w:rsidP="00C15EE3">
      <w:pPr>
        <w:pStyle w:val="BodyText"/>
      </w:pPr>
    </w:p>
    <w:p w:rsidR="005116F8" w:rsidRPr="005116F8" w:rsidP="005116F8">
      <w:pPr>
        <w:pStyle w:val="BodyText"/>
        <w:rPr>
          <w:i/>
        </w:rPr>
      </w:pPr>
      <w:r w:rsidRPr="005116F8">
        <w:rPr>
          <w:rStyle w:val="Emphasis"/>
        </w:rPr>
        <w:t>Note: Where a volume and/or frequency is not specified, demonstration must be provided at least once.</w:t>
      </w:r>
    </w:p>
    <w:p w:rsidR="00000000" w:rsidRPr="00C15EE3" w:rsidP="00C15EE3">
      <w:pPr>
        <w:pStyle w:val="Heading1"/>
      </w:pPr>
      <w:bookmarkStart w:id="3" w:name="O_945295"/>
      <w:bookmarkEnd w:id="3"/>
      <w:r w:rsidRPr="00C15EE3">
        <w:t>Knowledge Evidence</w:t>
      </w:r>
    </w:p>
    <w:p w:rsidR="00000000" w:rsidRPr="00C15EE3" w:rsidP="005116F8">
      <w:pPr>
        <w:pStyle w:val="BodyText"/>
      </w:pPr>
      <w:r w:rsidRPr="00C15EE3">
        <w:t xml:space="preserve">Evidence required to demonstrate the required knowledge for this unit must be </w:t>
      </w:r>
      <w:r w:rsidRPr="00C15EE3">
        <w:t>relevant to and satisfy the requirements of the elements and performance criteria and include knowledge of:</w:t>
      </w:r>
    </w:p>
    <w:p w:rsidR="00000000" w:rsidRPr="00C15EE3" w:rsidP="00C15EE3">
      <w:pPr>
        <w:pStyle w:val="ListBullet"/>
      </w:pPr>
      <w:r w:rsidRPr="00C15EE3">
        <w:t>word processing and graphics packages used for technical publication and publication amendment drafting</w:t>
      </w:r>
    </w:p>
    <w:p w:rsidR="00000000" w:rsidRPr="00C15EE3" w:rsidP="00C15EE3">
      <w:pPr>
        <w:pStyle w:val="ListBullet"/>
      </w:pPr>
      <w:r w:rsidRPr="00C15EE3">
        <w:t>types of technical publications</w:t>
      </w:r>
    </w:p>
    <w:p w:rsidR="00000000" w:rsidRPr="00C15EE3" w:rsidP="00C15EE3">
      <w:pPr>
        <w:pStyle w:val="ListBullet"/>
      </w:pPr>
      <w:r w:rsidRPr="00C15EE3">
        <w:t>data source</w:t>
      </w:r>
      <w:r w:rsidRPr="00C15EE3">
        <w:t>s for technical publications</w:t>
      </w:r>
    </w:p>
    <w:p w:rsidR="00000000" w:rsidRPr="00C15EE3" w:rsidP="00C15EE3">
      <w:pPr>
        <w:pStyle w:val="ListBullet"/>
      </w:pPr>
      <w:r w:rsidRPr="00C15EE3">
        <w:t>publication writing and editing conventions, standards and specifications</w:t>
      </w:r>
    </w:p>
    <w:p w:rsidR="00000000" w:rsidRPr="00C15EE3" w:rsidP="00C15EE3">
      <w:pPr>
        <w:pStyle w:val="ListBullet"/>
      </w:pPr>
      <w:r w:rsidRPr="00C15EE3">
        <w:t>use of style guides and illustration techniques</w:t>
      </w:r>
    </w:p>
    <w:p w:rsidR="00000000" w:rsidRPr="00C15EE3" w:rsidP="00C15EE3">
      <w:pPr>
        <w:pStyle w:val="ListBullet"/>
      </w:pPr>
      <w:r w:rsidRPr="00C15EE3">
        <w:t>reading of engineering drawings including:</w:t>
      </w:r>
    </w:p>
    <w:p w:rsidR="00000000" w:rsidRPr="00C15EE3" w:rsidP="00C15EE3">
      <w:pPr>
        <w:pStyle w:val="ListBullet2"/>
      </w:pPr>
      <w:r w:rsidRPr="00C15EE3">
        <w:t>standard drawing sheets and drawing layouts</w:t>
      </w:r>
    </w:p>
    <w:p w:rsidR="00000000" w:rsidRPr="00C15EE3" w:rsidP="00C15EE3">
      <w:pPr>
        <w:pStyle w:val="ListBullet2"/>
      </w:pPr>
      <w:r w:rsidRPr="00C15EE3">
        <w:t>types of drawing</w:t>
      </w:r>
    </w:p>
    <w:p w:rsidR="00000000" w:rsidRPr="00C15EE3" w:rsidP="00C15EE3">
      <w:pPr>
        <w:pStyle w:val="ListBullet2"/>
      </w:pPr>
      <w:r w:rsidRPr="00C15EE3">
        <w:t>engineering standards and specifications</w:t>
      </w:r>
    </w:p>
    <w:p w:rsidR="00000000" w:rsidRPr="00C15EE3" w:rsidP="00C15EE3">
      <w:pPr>
        <w:pStyle w:val="ListBullet2"/>
      </w:pPr>
      <w:r w:rsidRPr="00C15EE3">
        <w:t>technical terms and abbreviations</w:t>
      </w:r>
    </w:p>
    <w:p w:rsidR="00000000" w:rsidRPr="00C15EE3" w:rsidP="00C15EE3">
      <w:pPr>
        <w:pStyle w:val="ListBullet2"/>
      </w:pPr>
      <w:r w:rsidRPr="00C15EE3">
        <w:t>sectioned views</w:t>
      </w:r>
    </w:p>
    <w:p w:rsidR="00000000" w:rsidRPr="00C15EE3" w:rsidP="00C15EE3">
      <w:pPr>
        <w:pStyle w:val="ListBullet2"/>
      </w:pPr>
      <w:r w:rsidRPr="00C15EE3">
        <w:t>dimensioning and tolerancing of dimensions</w:t>
      </w:r>
    </w:p>
    <w:p w:rsidR="00000000" w:rsidRPr="00C15EE3" w:rsidP="00C15EE3">
      <w:pPr>
        <w:pStyle w:val="ListBullet2"/>
      </w:pPr>
      <w:r w:rsidRPr="00C15EE3">
        <w:t>types of fit</w:t>
      </w:r>
    </w:p>
    <w:p w:rsidR="00000000" w:rsidRPr="00C15EE3" w:rsidP="00C15EE3">
      <w:pPr>
        <w:pStyle w:val="ListBullet2"/>
      </w:pPr>
      <w:r w:rsidRPr="00C15EE3">
        <w:t>standard hardware and screw threads</w:t>
      </w:r>
    </w:p>
    <w:p w:rsidR="00000000" w:rsidRPr="00C15EE3" w:rsidP="00C15EE3">
      <w:pPr>
        <w:pStyle w:val="ListBullet2"/>
      </w:pPr>
      <w:r w:rsidRPr="00C15EE3">
        <w:t>threaded components and washers</w:t>
      </w:r>
    </w:p>
    <w:p w:rsidR="00000000" w:rsidRPr="00C15EE3" w:rsidP="00C15EE3">
      <w:pPr>
        <w:pStyle w:val="ListBullet2"/>
      </w:pPr>
      <w:r w:rsidRPr="00C15EE3">
        <w:t>locking devices and rivets</w:t>
      </w:r>
    </w:p>
    <w:p w:rsidR="00000000" w:rsidRPr="00C15EE3" w:rsidP="00C15EE3">
      <w:pPr>
        <w:pStyle w:val="ListBullet2"/>
      </w:pPr>
      <w:r w:rsidRPr="00C15EE3">
        <w:t>special struct</w:t>
      </w:r>
      <w:r w:rsidRPr="00C15EE3">
        <w:t>ural fasteners</w:t>
      </w:r>
    </w:p>
    <w:p w:rsidR="00000000" w:rsidRPr="00C15EE3" w:rsidP="00C15EE3">
      <w:pPr>
        <w:pStyle w:val="ListBullet2"/>
      </w:pPr>
      <w:r w:rsidRPr="00C15EE3">
        <w:t>spur gears</w:t>
      </w:r>
    </w:p>
    <w:p w:rsidR="00000000" w:rsidRPr="00C15EE3" w:rsidP="00C15EE3">
      <w:pPr>
        <w:pStyle w:val="ListBullet2"/>
      </w:pPr>
      <w:r w:rsidRPr="00C15EE3">
        <w:t>welding symbols and geometry tolerancing</w:t>
      </w:r>
    </w:p>
    <w:p w:rsidR="00000000" w:rsidRPr="00C15EE3" w:rsidP="00C15EE3">
      <w:pPr>
        <w:pStyle w:val="ListBullet2"/>
      </w:pPr>
      <w:r w:rsidRPr="00C15EE3">
        <w:t>surface texture</w:t>
      </w:r>
    </w:p>
    <w:p w:rsidR="00000000" w:rsidRPr="00C15EE3" w:rsidP="00C15EE3">
      <w:pPr>
        <w:pStyle w:val="ListBullet2"/>
      </w:pPr>
      <w:r w:rsidRPr="00C15EE3">
        <w:t>material specifications and metal surface treatment</w:t>
      </w:r>
    </w:p>
    <w:p w:rsidR="00000000" w:rsidRPr="00C15EE3" w:rsidP="00C15EE3">
      <w:pPr>
        <w:pStyle w:val="ListBullet"/>
      </w:pPr>
      <w:r w:rsidRPr="00C15EE3">
        <w:t>reading of electrical and electronic circuits and wiring diagrams</w:t>
      </w:r>
    </w:p>
    <w:p w:rsidR="00000000" w:rsidRPr="00C15EE3" w:rsidP="00C15EE3">
      <w:pPr>
        <w:pStyle w:val="ListBullet"/>
      </w:pPr>
      <w:r w:rsidRPr="00C15EE3">
        <w:t>development of system schematics and block diagrams</w:t>
      </w:r>
    </w:p>
    <w:p w:rsidR="00000000" w:rsidRPr="00C15EE3" w:rsidP="00C15EE3">
      <w:pPr>
        <w:pStyle w:val="ListBullet"/>
      </w:pPr>
      <w:r w:rsidRPr="00C15EE3">
        <w:t>sketching</w:t>
      </w:r>
    </w:p>
    <w:p w:rsidR="00000000" w:rsidRPr="00C15EE3" w:rsidP="00C15EE3">
      <w:pPr>
        <w:pStyle w:val="ListBullet"/>
      </w:pPr>
      <w:r w:rsidRPr="00C15EE3">
        <w:t>use and development of logic charts</w:t>
      </w:r>
    </w:p>
    <w:p w:rsidR="00000000" w:rsidRPr="00C15EE3" w:rsidP="00C15EE3">
      <w:pPr>
        <w:pStyle w:val="ListBullet"/>
      </w:pPr>
      <w:r w:rsidRPr="00C15EE3">
        <w:t>development of fault diagnosis guides</w:t>
      </w:r>
    </w:p>
    <w:p w:rsidR="00000000" w:rsidRPr="00C15EE3" w:rsidP="00C15EE3">
      <w:pPr>
        <w:pStyle w:val="ListBullet"/>
      </w:pPr>
      <w:r w:rsidRPr="00C15EE3">
        <w:t>preparation of illustrator briefs</w:t>
      </w:r>
    </w:p>
    <w:p w:rsidR="00000000" w:rsidRPr="00C15EE3" w:rsidP="00C15EE3">
      <w:pPr>
        <w:pStyle w:val="ListBullet"/>
      </w:pPr>
      <w:r w:rsidRPr="00C15EE3">
        <w:t>preparation of indexes to publication contents</w:t>
      </w:r>
    </w:p>
    <w:p w:rsidR="00000000" w:rsidRPr="00C15EE3" w:rsidP="00C15EE3">
      <w:pPr>
        <w:pStyle w:val="ListBullet"/>
      </w:pPr>
      <w:r w:rsidRPr="00C15EE3">
        <w:t>problem-solving methodology</w:t>
      </w:r>
    </w:p>
    <w:p w:rsidR="00000000" w:rsidRPr="00C15EE3" w:rsidP="00C15EE3">
      <w:pPr>
        <w:pStyle w:val="ListBullet"/>
      </w:pPr>
      <w:r w:rsidRPr="00C15EE3">
        <w:t xml:space="preserve">regulations relevant to technical publications and work health </w:t>
      </w:r>
      <w:r w:rsidRPr="00C15EE3">
        <w:t>and safety (WHS) legislation</w:t>
      </w:r>
    </w:p>
    <w:p w:rsidR="00000000" w:rsidRPr="00C15EE3" w:rsidP="00C15EE3">
      <w:pPr>
        <w:pStyle w:val="ListBullet"/>
      </w:pPr>
      <w:r w:rsidRPr="00C15EE3">
        <w:t>procedures for processing drafts through desktop publishing to printing, binding and distribution for print-based publications</w:t>
      </w:r>
    </w:p>
    <w:p w:rsidR="00000000" w:rsidRPr="00C15EE3" w:rsidP="00C15EE3">
      <w:pPr>
        <w:pStyle w:val="ListBullet"/>
      </w:pPr>
      <w:r w:rsidRPr="00C15EE3">
        <w:t>principles for publication database systems and the development of input data for digital format pub</w:t>
      </w:r>
      <w:r w:rsidRPr="00C15EE3">
        <w:t>lications</w:t>
      </w:r>
    </w:p>
    <w:p w:rsidR="00000000" w:rsidRPr="00C15EE3" w:rsidP="00C15EE3">
      <w:pPr>
        <w:pStyle w:val="ListBullet"/>
      </w:pPr>
      <w:r w:rsidRPr="00C15EE3">
        <w:t>requirements for, and methods of, maintaining publication records</w:t>
      </w:r>
    </w:p>
    <w:p w:rsidR="00000000" w:rsidRPr="00C15EE3" w:rsidP="00C15EE3">
      <w:pPr>
        <w:pStyle w:val="ListBullet"/>
      </w:pPr>
      <w:r w:rsidRPr="00C15EE3">
        <w:t>applicable publication standards and systems</w:t>
      </w:r>
    </w:p>
    <w:p w:rsidR="00000000" w:rsidRPr="00C15EE3" w:rsidP="00C15EE3">
      <w:pPr>
        <w:pStyle w:val="ListBullet"/>
      </w:pPr>
      <w:r w:rsidRPr="00C15EE3">
        <w:t>copyright legislation</w:t>
      </w:r>
    </w:p>
    <w:p w:rsidR="00000000" w:rsidRPr="00C15EE3" w:rsidP="00C15EE3">
      <w:pPr>
        <w:pStyle w:val="ListBullet"/>
      </w:pPr>
      <w:r w:rsidRPr="00C15EE3">
        <w:t>desktop publishing software systems</w:t>
      </w:r>
    </w:p>
    <w:p w:rsidR="00000000" w:rsidRPr="00C15EE3" w:rsidP="00C15EE3">
      <w:pPr>
        <w:pStyle w:val="ListBullet"/>
      </w:pPr>
      <w:r w:rsidRPr="00C15EE3">
        <w:t>printing methods</w:t>
      </w:r>
    </w:p>
    <w:p w:rsidR="00000000" w:rsidRPr="00C15EE3" w:rsidP="00C15EE3">
      <w:pPr>
        <w:pStyle w:val="ListBullet"/>
      </w:pPr>
      <w:r w:rsidRPr="00C15EE3">
        <w:t>binder systems</w:t>
      </w:r>
    </w:p>
    <w:p w:rsidR="00000000" w:rsidRPr="00C15EE3" w:rsidP="00C15EE3">
      <w:pPr>
        <w:pStyle w:val="ListBullet"/>
      </w:pPr>
      <w:r w:rsidRPr="00C15EE3">
        <w:t>management methods for amendment, custody and distribution of technical publications</w:t>
      </w:r>
    </w:p>
    <w:p w:rsidR="005116F8" w:rsidP="00C15EE3">
      <w:pPr>
        <w:pStyle w:val="ListBullet"/>
      </w:pPr>
      <w:r w:rsidRPr="00C15EE3">
        <w:t>version control procedures including recording systems for amendment distribution and incorporation.</w:t>
      </w:r>
    </w:p>
    <w:p w:rsidR="005116F8" w:rsidP="00C15EE3">
      <w:pPr>
        <w:pStyle w:val="ListBullet"/>
      </w:pPr>
    </w:p>
    <w:p w:rsidR="00000000" w:rsidRPr="00C15EE3" w:rsidP="00C15EE3">
      <w:pPr>
        <w:pStyle w:val="Heading1"/>
      </w:pPr>
      <w:bookmarkStart w:id="4" w:name="O_945294"/>
      <w:bookmarkEnd w:id="4"/>
      <w:r w:rsidRPr="00C15EE3">
        <w:t>Assessment Conditions</w:t>
      </w:r>
    </w:p>
    <w:p w:rsidR="00000000" w:rsidRPr="00C15EE3" w:rsidP="00C15EE3">
      <w:pPr>
        <w:pStyle w:val="ListBullet"/>
      </w:pPr>
      <w:r w:rsidRPr="00C15EE3">
        <w:t>Assessors must:</w:t>
      </w:r>
    </w:p>
    <w:p w:rsidR="00000000" w:rsidRPr="00C15EE3" w:rsidP="00C15EE3">
      <w:pPr>
        <w:pStyle w:val="ListBullet2"/>
      </w:pPr>
      <w:r w:rsidRPr="00C15EE3">
        <w:t>have vocatio</w:t>
      </w:r>
      <w:r w:rsidRPr="00C15EE3">
        <w:t>nal competency in producing and managing technical publications at least to the level being assessed with relevant industry knowledge and experience</w:t>
      </w:r>
    </w:p>
    <w:p w:rsidR="00000000" w:rsidRPr="00C15EE3" w:rsidP="00C15EE3">
      <w:pPr>
        <w:pStyle w:val="ListBullet2"/>
      </w:pPr>
      <w:r w:rsidRPr="00C15EE3">
        <w:t xml:space="preserve">satisfy the assessor requirements in the </w:t>
      </w:r>
      <w:r w:rsidRPr="00C15EE3">
        <w:rPr>
          <w:rStyle w:val="Emphasis"/>
        </w:rPr>
        <w:t>Standards for Registered Training Organisations 2015 or its replac</w:t>
      </w:r>
      <w:r w:rsidRPr="00C15EE3">
        <w:rPr>
          <w:rStyle w:val="Emphasis"/>
        </w:rPr>
        <w:t xml:space="preserve">ement </w:t>
      </w:r>
      <w:r w:rsidRPr="00C15EE3">
        <w:t xml:space="preserve">and comply with the </w:t>
      </w:r>
      <w:r w:rsidRPr="00C15EE3">
        <w:rPr>
          <w:rStyle w:val="Emphasis"/>
        </w:rPr>
        <w:t xml:space="preserve">National Vocational Education and Training Regulator Act 2011, </w:t>
      </w:r>
      <w:r w:rsidRPr="00C15EE3">
        <w:t>its replacement</w:t>
      </w:r>
      <w:r w:rsidRPr="00C15EE3">
        <w:rPr>
          <w:rStyle w:val="Emphasis"/>
        </w:rPr>
        <w:t xml:space="preserve"> </w:t>
      </w:r>
      <w:r w:rsidRPr="00C15EE3">
        <w:t>or equivalent legislation covering VET regulation in a non-referring state/territory as the case requires.</w:t>
      </w:r>
    </w:p>
    <w:p w:rsidR="00000000" w:rsidRPr="00C15EE3" w:rsidP="00C15EE3">
      <w:pPr>
        <w:pStyle w:val="ListBullet"/>
      </w:pPr>
      <w:r w:rsidRPr="00C15EE3">
        <w:t>Where possible assessment must occur in ope</w:t>
      </w:r>
      <w:r w:rsidRPr="00C15EE3">
        <w:t>rational workplace situations. Where this is not possible or where personal safety or environmental damage are limiting factors, assessment must occur in a sufficiently rigorous simulated environment that reflects realistic operational workplace conditions</w:t>
      </w:r>
      <w:r w:rsidRPr="00C15EE3">
        <w:t xml:space="preserve"> that cover all aspects of workplace performance, including environment, task skills, task management skills, contingency management skills and job role environment skills.</w:t>
      </w:r>
    </w:p>
    <w:p w:rsidR="00000000" w:rsidRPr="00C15EE3" w:rsidP="00C15EE3">
      <w:pPr>
        <w:pStyle w:val="ListBullet"/>
      </w:pPr>
      <w:r w:rsidRPr="00C15EE3">
        <w:t>Conditions for assessment must include access to all tools, equipment, materials and documentation required including relevant workplace procedures, product and manufacturing specifications.</w:t>
      </w:r>
    </w:p>
    <w:p w:rsidR="00000000" w:rsidRPr="00C15EE3" w:rsidP="00C15EE3">
      <w:pPr>
        <w:pStyle w:val="ListBullet"/>
      </w:pPr>
      <w:r w:rsidRPr="00C15EE3">
        <w:t>Assessment processes and techniques must be appropriate to the la</w:t>
      </w:r>
      <w:r w:rsidRPr="00C15EE3">
        <w:t>nguage, literacy and numeracy requirements of the work being performed and the needs of the candidate.</w:t>
      </w:r>
    </w:p>
    <w:p w:rsidR="00000000" w:rsidRPr="00C15EE3" w:rsidP="00C15EE3">
      <w:pPr>
        <w:pStyle w:val="AllowPageBreak"/>
      </w:pPr>
    </w:p>
    <w:p w:rsidR="00000000" w:rsidRPr="00C15EE3" w:rsidP="00C15EE3">
      <w:pPr>
        <w:pStyle w:val="Heading1"/>
      </w:pPr>
      <w:bookmarkStart w:id="5" w:name="O_945292"/>
      <w:bookmarkEnd w:id="5"/>
      <w:r w:rsidRPr="00C15EE3">
        <w:t>Links</w:t>
      </w:r>
    </w:p>
    <w:p w:rsidR="00000000" w:rsidRPr="00C15EE3" w:rsidP="005116F8">
      <w:pPr>
        <w:pStyle w:val="BodyText"/>
      </w:pPr>
      <w:r w:rsidRPr="00C15EE3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392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15EE3" w:rsidP="00C15EE3"/>
    <w:sectPr w:rsidSect="00C15E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E3" w:rsidRPr="005116F8" w:rsidP="005116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6F8" w:rsidP="00C15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6F8" w:rsidP="00C15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16F8" w:rsidP="00C15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6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EE3" w:rsidRPr="005116F8" w:rsidP="005116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6F8" w:rsidRPr="002D2AF8" w:rsidP="00C15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MEM234029 Produce and manage technical publications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116F8" w:rsidP="00C15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E60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8A6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7C2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EE3"/>
  </w:style>
  <w:style w:type="character" w:customStyle="1" w:styleId="Heading1Char">
    <w:name w:val="Heading 1 Char"/>
    <w:basedOn w:val="DefaultParagraphFont"/>
    <w:link w:val="Heading1"/>
    <w:rsid w:val="00C15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E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E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E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5E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5EE3"/>
    <w:rPr>
      <w:i/>
    </w:rPr>
  </w:style>
  <w:style w:type="paragraph" w:customStyle="1" w:styleId="SuperHeading">
    <w:name w:val="SuperHeading"/>
    <w:basedOn w:val="Normal"/>
    <w:rsid w:val="00C15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E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E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5EE3"/>
    <w:rPr>
      <w:b/>
      <w:spacing w:val="0"/>
    </w:rPr>
  </w:style>
  <w:style w:type="paragraph" w:customStyle="1" w:styleId="SuperTitle">
    <w:name w:val="SuperTitle"/>
    <w:basedOn w:val="Title"/>
    <w:rsid w:val="00C15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E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5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EE3"/>
  </w:style>
  <w:style w:type="paragraph" w:styleId="TableofFigures">
    <w:name w:val="table of figures"/>
    <w:basedOn w:val="Normal"/>
    <w:next w:val="Normal"/>
    <w:semiHidden/>
    <w:rsid w:val="00C15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E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5EE3"/>
    <w:rPr>
      <w:rFonts w:ascii="Wingdings" w:hAnsi="Wingdings"/>
    </w:rPr>
  </w:style>
  <w:style w:type="paragraph" w:customStyle="1" w:styleId="TableHeading">
    <w:name w:val="Table Heading"/>
    <w:basedOn w:val="HeadingBase"/>
    <w:rsid w:val="00C15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EE3"/>
    <w:rPr>
      <w:color w:val="0033CC"/>
      <w:u w:val="none"/>
    </w:rPr>
  </w:style>
  <w:style w:type="paragraph" w:customStyle="1" w:styleId="BodyTextRight">
    <w:name w:val="Body Text Right"/>
    <w:basedOn w:val="BodyText"/>
    <w:rsid w:val="00C15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E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EE3"/>
    <w:rPr>
      <w:sz w:val="32"/>
    </w:rPr>
  </w:style>
  <w:style w:type="paragraph" w:customStyle="1" w:styleId="HeadingProcedure">
    <w:name w:val="Heading Procedure"/>
    <w:basedOn w:val="HeadingBase"/>
    <w:next w:val="Normal"/>
    <w:rsid w:val="00C15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EE3"/>
    <w:pPr>
      <w:spacing w:before="60" w:after="60"/>
    </w:pPr>
  </w:style>
  <w:style w:type="paragraph" w:styleId="ListContinue">
    <w:name w:val="List Continue"/>
    <w:basedOn w:val="List"/>
    <w:rsid w:val="00C15EE3"/>
    <w:pPr>
      <w:ind w:firstLine="0"/>
    </w:pPr>
  </w:style>
  <w:style w:type="paragraph" w:customStyle="1" w:styleId="ListNote">
    <w:name w:val="List Note"/>
    <w:basedOn w:val="List"/>
    <w:rsid w:val="00C15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EE3"/>
    <w:rPr>
      <w:rFonts w:ascii="Courier New" w:hAnsi="Courier New"/>
    </w:rPr>
  </w:style>
  <w:style w:type="paragraph" w:customStyle="1" w:styleId="NoteBullet">
    <w:name w:val="Note Bullet"/>
    <w:basedOn w:val="Note"/>
    <w:rsid w:val="00C15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E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EE3"/>
    <w:rPr>
      <w:b/>
      <w:smallCaps/>
    </w:rPr>
  </w:style>
  <w:style w:type="paragraph" w:customStyle="1" w:styleId="TableListNumber">
    <w:name w:val="Table List Number"/>
    <w:basedOn w:val="ListNumber"/>
    <w:rsid w:val="00C15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EE3"/>
    <w:pPr>
      <w:numPr>
        <w:numId w:val="9"/>
      </w:numPr>
    </w:pPr>
  </w:style>
  <w:style w:type="paragraph" w:customStyle="1" w:styleId="ListAlpha2">
    <w:name w:val="List Alpha 2"/>
    <w:basedOn w:val="List2"/>
    <w:rsid w:val="00C15EE3"/>
    <w:pPr>
      <w:numPr>
        <w:numId w:val="8"/>
      </w:numPr>
    </w:pPr>
  </w:style>
  <w:style w:type="paragraph" w:styleId="List2">
    <w:name w:val="List 2"/>
    <w:basedOn w:val="BodyText"/>
    <w:rsid w:val="00C15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E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E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5EE3"/>
    <w:pPr>
      <w:numPr>
        <w:numId w:val="4"/>
      </w:numPr>
    </w:pPr>
  </w:style>
  <w:style w:type="paragraph" w:styleId="ListContinue2">
    <w:name w:val="List Continue 2"/>
    <w:basedOn w:val="List2"/>
    <w:rsid w:val="00C15EE3"/>
    <w:pPr>
      <w:ind w:firstLine="0"/>
    </w:pPr>
  </w:style>
  <w:style w:type="paragraph" w:styleId="ListContinue3">
    <w:name w:val="List Continue 3"/>
    <w:basedOn w:val="List3"/>
    <w:rsid w:val="00C15EE3"/>
    <w:pPr>
      <w:ind w:left="1021" w:firstLine="0"/>
    </w:pPr>
  </w:style>
  <w:style w:type="paragraph" w:styleId="ListContinue4">
    <w:name w:val="List Continue 4"/>
    <w:basedOn w:val="List4"/>
    <w:rsid w:val="00C15EE3"/>
    <w:pPr>
      <w:ind w:firstLine="0"/>
    </w:pPr>
  </w:style>
  <w:style w:type="paragraph" w:styleId="ListContinue5">
    <w:name w:val="List Continue 5"/>
    <w:basedOn w:val="List5"/>
    <w:rsid w:val="00C15EE3"/>
    <w:pPr>
      <w:ind w:firstLine="0"/>
    </w:pPr>
  </w:style>
  <w:style w:type="paragraph" w:styleId="ListNumber3">
    <w:name w:val="List Number 3"/>
    <w:basedOn w:val="List3"/>
    <w:rsid w:val="00C15EE3"/>
    <w:pPr>
      <w:numPr>
        <w:numId w:val="5"/>
      </w:numPr>
    </w:pPr>
  </w:style>
  <w:style w:type="paragraph" w:styleId="ListNumber4">
    <w:name w:val="List Number 4"/>
    <w:basedOn w:val="List4"/>
    <w:rsid w:val="00C15EE3"/>
    <w:pPr>
      <w:numPr>
        <w:numId w:val="6"/>
      </w:numPr>
    </w:pPr>
  </w:style>
  <w:style w:type="paragraph" w:styleId="ListNumber5">
    <w:name w:val="List Number 5"/>
    <w:basedOn w:val="List5"/>
    <w:rsid w:val="00C15EE3"/>
    <w:pPr>
      <w:numPr>
        <w:numId w:val="7"/>
      </w:numPr>
    </w:pPr>
  </w:style>
  <w:style w:type="paragraph" w:styleId="BlockText">
    <w:name w:val="Block Text"/>
    <w:basedOn w:val="Normal"/>
    <w:rsid w:val="00C15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EE3"/>
    <w:rPr>
      <w:sz w:val="16"/>
      <w:vertAlign w:val="superscript"/>
    </w:rPr>
  </w:style>
  <w:style w:type="character" w:customStyle="1" w:styleId="Symbols">
    <w:name w:val="Symbols"/>
    <w:basedOn w:val="DefaultParagraphFont"/>
    <w:rsid w:val="00C15EE3"/>
    <w:rPr>
      <w:rFonts w:ascii="Symbol" w:hAnsi="Symbol"/>
    </w:rPr>
  </w:style>
  <w:style w:type="character" w:customStyle="1" w:styleId="MenuOptions">
    <w:name w:val="Menu Options"/>
    <w:basedOn w:val="DefaultParagraphFont"/>
    <w:rsid w:val="00C15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EE3"/>
    <w:rPr>
      <w:b/>
    </w:rPr>
  </w:style>
  <w:style w:type="character" w:customStyle="1" w:styleId="Underlined">
    <w:name w:val="Underlined"/>
    <w:basedOn w:val="DefaultParagraphFont"/>
    <w:rsid w:val="00C15EE3"/>
    <w:rPr>
      <w:u w:val="single"/>
    </w:rPr>
  </w:style>
  <w:style w:type="paragraph" w:customStyle="1" w:styleId="TableBodyTextRight">
    <w:name w:val="Table Body Text Right"/>
    <w:basedOn w:val="TableBodyText"/>
    <w:rsid w:val="00C15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EE3"/>
    <w:rPr>
      <w:sz w:val="18"/>
    </w:rPr>
  </w:style>
  <w:style w:type="paragraph" w:customStyle="1" w:styleId="BodySmallRight">
    <w:name w:val="Body Small Right"/>
    <w:basedOn w:val="BodyTextRight"/>
    <w:rsid w:val="00C15EE3"/>
    <w:rPr>
      <w:sz w:val="18"/>
      <w:szCs w:val="18"/>
    </w:rPr>
  </w:style>
  <w:style w:type="paragraph" w:customStyle="1" w:styleId="MarginEdition">
    <w:name w:val="Margin Edition"/>
    <w:basedOn w:val="MarginNote"/>
    <w:rsid w:val="00C15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EE3"/>
    <w:rPr>
      <w:sz w:val="2"/>
      <w:szCs w:val="2"/>
    </w:rPr>
  </w:style>
  <w:style w:type="character" w:customStyle="1" w:styleId="Small">
    <w:name w:val="Small"/>
    <w:basedOn w:val="DefaultParagraphFont"/>
    <w:rsid w:val="00C15EE3"/>
    <w:rPr>
      <w:sz w:val="16"/>
    </w:rPr>
  </w:style>
  <w:style w:type="paragraph" w:customStyle="1" w:styleId="WideTable">
    <w:name w:val="Wide Table"/>
    <w:basedOn w:val="Normal"/>
    <w:rsid w:val="00C15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EE3"/>
  </w:style>
  <w:style w:type="paragraph" w:styleId="Quote">
    <w:name w:val="Quote"/>
    <w:basedOn w:val="Heading1"/>
    <w:link w:val="QuoteChar"/>
    <w:qFormat/>
    <w:rsid w:val="00C15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EE3"/>
    <w:pPr>
      <w:pageBreakBefore/>
    </w:pPr>
  </w:style>
  <w:style w:type="paragraph" w:customStyle="1" w:styleId="Border">
    <w:name w:val="Border"/>
    <w:basedOn w:val="Normal"/>
    <w:qFormat/>
    <w:rsid w:val="00C15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EE3"/>
    <w:rPr>
      <w:u w:val="single"/>
    </w:rPr>
  </w:style>
  <w:style w:type="character" w:customStyle="1" w:styleId="BoldandItalics">
    <w:name w:val="Bold and Italics"/>
    <w:qFormat/>
    <w:rsid w:val="00C15EE3"/>
    <w:rPr>
      <w:b/>
      <w:i/>
      <w:u w:val="none"/>
    </w:rPr>
  </w:style>
  <w:style w:type="paragraph" w:styleId="BalloonText">
    <w:name w:val="Balloon Text"/>
    <w:basedOn w:val="Normal"/>
    <w:link w:val="BalloonTextChar"/>
    <w:rsid w:val="00C15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E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E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EE3"/>
    <w:pPr>
      <w:spacing w:before="0" w:after="0"/>
    </w:pPr>
  </w:style>
  <w:style w:type="paragraph" w:customStyle="1" w:styleId="BodyTextBold">
    <w:name w:val="Body Text Bold"/>
    <w:basedOn w:val="BodyText"/>
    <w:qFormat/>
    <w:rsid w:val="00C15EE3"/>
    <w:rPr>
      <w:b/>
    </w:rPr>
  </w:style>
  <w:style w:type="character" w:styleId="Hyperlink">
    <w:name w:val="Hyperlink"/>
    <w:basedOn w:val="DefaultParagraphFont"/>
    <w:uiPriority w:val="99"/>
    <w:unhideWhenUsed/>
    <w:rsid w:val="005116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4302</Characters>
  <Application>Microsoft Office Word</Application>
  <DocSecurity>0</DocSecurity>
  <Lines>104</Lines>
  <Paragraphs>76</Paragraphs>
  <ScaleCrop>false</ScaleCrop>
  <Company>Author-it Software Corporation Ltd.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MEM234029 Produce and manage technical publications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