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8D5" w:rsidP="00944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MEM234023 Apply differential equations to technology problems</w:t>
      </w:r>
      <w:r>
        <w:fldChar w:fldCharType="end"/>
      </w:r>
    </w:p>
    <w:p w:rsidR="009448D5" w:rsidP="009448D5">
      <w:pPr>
        <w:pStyle w:val="Version"/>
        <w:sectPr w:rsidSect="00642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DCA" w:rsidP="00642DCA">
      <w:pPr>
        <w:pStyle w:val="SuperHeading"/>
      </w:pPr>
      <w:r w:rsidRPr="00642DCA">
        <w:t>Assessment Requirements for MEM234023 Apply differential equations to technology problems</w:t>
      </w:r>
    </w:p>
    <w:p w:rsidR="00000000" w:rsidRPr="00642DCA" w:rsidP="00642DCA">
      <w:pPr>
        <w:pStyle w:val="Heading1"/>
      </w:pPr>
      <w:bookmarkStart w:id="1" w:name="O_945174"/>
      <w:bookmarkEnd w:id="1"/>
      <w:r w:rsidRPr="00642DCA">
        <w:t>Modification History</w:t>
      </w:r>
    </w:p>
    <w:p w:rsidR="00000000" w:rsidRPr="00642DCA" w:rsidP="009448D5">
      <w:pPr>
        <w:pStyle w:val="BodyText"/>
      </w:pPr>
      <w:r w:rsidRPr="00642DCA">
        <w:t>Release 1. Supersedes and is equivalent to MEM234023A Apply differential equations to technology problems.</w:t>
      </w:r>
    </w:p>
    <w:p w:rsidR="00000000" w:rsidRPr="00642DCA" w:rsidP="00642DCA">
      <w:pPr>
        <w:pStyle w:val="Heading1"/>
      </w:pPr>
      <w:bookmarkStart w:id="2" w:name="O_945177"/>
      <w:bookmarkEnd w:id="2"/>
      <w:r w:rsidRPr="00642DCA">
        <w:t>Performance Evidence</w:t>
      </w:r>
    </w:p>
    <w:p w:rsidR="00000000" w:rsidRPr="00642DCA" w:rsidP="009448D5">
      <w:pPr>
        <w:pStyle w:val="BodyText"/>
      </w:pPr>
      <w:r w:rsidRPr="00642DCA">
        <w:t>Evidence required to demonstrate competence in this unit must be relevant to and satisfy the requirements of the elements and performance criteria and include:</w:t>
      </w:r>
    </w:p>
    <w:p w:rsidR="00000000" w:rsidRPr="00642DCA" w:rsidP="00642DCA">
      <w:pPr>
        <w:pStyle w:val="ListBullet"/>
      </w:pPr>
      <w:r w:rsidRPr="00642DCA">
        <w:t>identifying and defining problems</w:t>
      </w:r>
    </w:p>
    <w:p w:rsidR="00000000" w:rsidRPr="00642DCA" w:rsidP="00642DCA">
      <w:pPr>
        <w:pStyle w:val="ListBullet"/>
      </w:pPr>
      <w:r w:rsidRPr="00642DCA">
        <w:t>identifying appropriate differential equ</w:t>
      </w:r>
      <w:r w:rsidRPr="00642DCA">
        <w:t>ations for engineering or related problems</w:t>
      </w:r>
    </w:p>
    <w:p w:rsidR="00000000" w:rsidRPr="00642DCA" w:rsidP="00642DCA">
      <w:pPr>
        <w:pStyle w:val="ListBullet"/>
      </w:pPr>
      <w:r w:rsidRPr="00642DCA">
        <w:t>applying the appropriate technique to the problem and solving and confirming answer using the technique on at least two occasions</w:t>
      </w:r>
    </w:p>
    <w:p w:rsidR="00000000" w:rsidRPr="00642DCA" w:rsidP="00642DCA">
      <w:pPr>
        <w:pStyle w:val="ListBullet"/>
      </w:pPr>
      <w:r w:rsidRPr="00642DCA">
        <w:t>communicating the outcome of the analysis in a manner suited to the audience and co</w:t>
      </w:r>
      <w:r w:rsidRPr="00642DCA">
        <w:t>nfirming the outcome has addressed the problem.</w:t>
      </w:r>
    </w:p>
    <w:p w:rsidR="00000000" w:rsidRPr="00642DCA" w:rsidP="00642DCA">
      <w:pPr>
        <w:pStyle w:val="BodyText"/>
      </w:pPr>
    </w:p>
    <w:p w:rsidR="00000000" w:rsidRPr="009448D5" w:rsidP="009448D5">
      <w:pPr>
        <w:pStyle w:val="BodyText"/>
        <w:rPr>
          <w:i/>
        </w:rPr>
      </w:pPr>
      <w:r w:rsidRPr="009448D5">
        <w:rPr>
          <w:rStyle w:val="Emphasis"/>
        </w:rPr>
        <w:t>Note: Where a volume and/or frequency is not specified, demonstration must be provided at least once.</w:t>
      </w:r>
    </w:p>
    <w:p w:rsidR="00000000" w:rsidRPr="00642DCA" w:rsidP="00642DCA">
      <w:pPr>
        <w:pStyle w:val="Heading1"/>
      </w:pPr>
      <w:bookmarkStart w:id="3" w:name="O_945176"/>
      <w:bookmarkEnd w:id="3"/>
      <w:r w:rsidRPr="00642DCA">
        <w:t>Knowledge Evidence</w:t>
      </w:r>
    </w:p>
    <w:p w:rsidR="00000000" w:rsidRPr="00642DCA" w:rsidP="009448D5">
      <w:pPr>
        <w:pStyle w:val="BodyText"/>
      </w:pPr>
      <w:r w:rsidRPr="00642DCA">
        <w:t>Evidence required to demonstrate the required knowledge for this unit</w:t>
      </w:r>
      <w:r w:rsidRPr="00642DCA">
        <w:t xml:space="preserve"> must be relevant to and satisfy the requirements of the elements and performance criteria and include knowledge of:</w:t>
      </w:r>
    </w:p>
    <w:p w:rsidR="00000000" w:rsidRPr="00642DCA" w:rsidP="00642DCA">
      <w:pPr>
        <w:pStyle w:val="ListBullet"/>
      </w:pPr>
      <w:r w:rsidRPr="00642DCA">
        <w:t>ordinary differential equations (DEs)</w:t>
      </w:r>
    </w:p>
    <w:p w:rsidR="00000000" w:rsidRPr="00642DCA" w:rsidP="00642DCA">
      <w:pPr>
        <w:pStyle w:val="ListBullet"/>
      </w:pPr>
      <w:r w:rsidRPr="00642DCA">
        <w:t>first order separable DEs</w:t>
      </w:r>
    </w:p>
    <w:p w:rsidR="00000000" w:rsidRPr="00642DCA" w:rsidP="00642DCA">
      <w:pPr>
        <w:pStyle w:val="ListBullet"/>
      </w:pPr>
      <w:r w:rsidRPr="00642DCA">
        <w:t>first order linear DEs</w:t>
      </w:r>
    </w:p>
    <w:p w:rsidR="00000000" w:rsidRPr="00642DCA" w:rsidP="00642DCA">
      <w:pPr>
        <w:pStyle w:val="ListBullet"/>
      </w:pPr>
      <w:r w:rsidRPr="00642DCA">
        <w:t>first order exact DEs</w:t>
      </w:r>
    </w:p>
    <w:p w:rsidR="00000000" w:rsidRPr="00642DCA" w:rsidP="00642DCA">
      <w:pPr>
        <w:pStyle w:val="ListBullet"/>
      </w:pPr>
      <w:r w:rsidRPr="00642DCA">
        <w:t>second order linear homogeneo</w:t>
      </w:r>
      <w:r w:rsidRPr="00642DCA">
        <w:t>us DEs with constant coefficients</w:t>
      </w:r>
    </w:p>
    <w:p w:rsidR="00000000" w:rsidRPr="00642DCA" w:rsidP="00642DCA">
      <w:pPr>
        <w:pStyle w:val="ListBullet"/>
      </w:pPr>
      <w:r w:rsidRPr="00642DCA">
        <w:t>second order linear non-homogeneous DEs with constant coefficients</w:t>
      </w:r>
    </w:p>
    <w:p w:rsidR="00000000" w:rsidRPr="00642DCA" w:rsidP="00642DCA">
      <w:pPr>
        <w:pStyle w:val="ListBullet"/>
      </w:pPr>
      <w:r w:rsidRPr="00642DCA">
        <w:t>DEs including:</w:t>
      </w:r>
    </w:p>
    <w:p w:rsidR="00000000" w:rsidRPr="00642DCA" w:rsidP="00642DCA">
      <w:pPr>
        <w:pStyle w:val="ListBullet2"/>
      </w:pPr>
      <w:r w:rsidRPr="00642DCA">
        <w:t>definition of a DE</w:t>
      </w:r>
    </w:p>
    <w:p w:rsidR="00000000" w:rsidRPr="00642DCA" w:rsidP="00642DCA">
      <w:pPr>
        <w:pStyle w:val="ListBullet2"/>
        <w:keepNext/>
      </w:pPr>
      <w:r w:rsidRPr="00642DCA">
        <w:t>first order DEs – separation of variables and applications</w:t>
      </w:r>
    </w:p>
    <w:p w:rsidR="00000000" w:rsidRPr="00642DCA" w:rsidP="00642DCA">
      <w:pPr>
        <w:pStyle w:val="ListBullet2"/>
        <w:keepNext/>
      </w:pPr>
      <w:r w:rsidRPr="00642DCA">
        <w:t>second order DEs of the form:</w:t>
      </w:r>
      <w:r w:rsidRPr="00642DCA">
        <w:br/>
      </w:r>
      <w:bookmarkStart w:id="4" w:name="O_12689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33pt;width:60pt">
            <v:imagedata r:id="rId10" o:title=""/>
          </v:shape>
        </w:pict>
      </w:r>
      <w:bookmarkEnd w:id="4"/>
    </w:p>
    <w:p w:rsidR="00000000" w:rsidRPr="00642DCA" w:rsidP="00642DCA">
      <w:pPr>
        <w:pStyle w:val="ListBullet2"/>
        <w:keepNext/>
      </w:pPr>
      <w:r w:rsidRPr="00642DCA">
        <w:t xml:space="preserve">second order DEs of the form: </w:t>
      </w:r>
      <w:r w:rsidRPr="00642DCA">
        <w:br/>
      </w:r>
      <w:bookmarkStart w:id="5" w:name="O_1268927"/>
      <w:r>
        <w:pict>
          <v:shape id="_x0000_i1026" type="#_x0000_t75" style="height:33pt;width:60pt">
            <v:imagedata r:id="rId11" o:title=""/>
          </v:shape>
        </w:pict>
      </w:r>
      <w:bookmarkEnd w:id="5"/>
    </w:p>
    <w:p w:rsidR="00000000" w:rsidRPr="00642DCA" w:rsidP="00642DCA">
      <w:pPr>
        <w:pStyle w:val="ListBullet2"/>
        <w:keepNext/>
      </w:pPr>
      <w:r w:rsidRPr="00642DCA">
        <w:t xml:space="preserve">first order DEs of the form: </w:t>
      </w:r>
      <w:r w:rsidRPr="00642DCA">
        <w:br/>
      </w:r>
      <w:bookmarkStart w:id="6" w:name="O_1268928"/>
      <w:r>
        <w:pict>
          <v:shape id="_x0000_i1027" type="#_x0000_t75" style="height:30.75pt;width:65.25pt">
            <v:imagedata r:id="rId12" o:title=""/>
          </v:shape>
        </w:pict>
      </w:r>
      <w:bookmarkEnd w:id="6"/>
    </w:p>
    <w:p w:rsidR="00000000" w:rsidRPr="00642DCA" w:rsidP="00642DCA">
      <w:pPr>
        <w:pStyle w:val="ListBullet2"/>
        <w:keepNext/>
      </w:pPr>
      <w:r w:rsidRPr="00642DCA">
        <w:t xml:space="preserve">second order DEs of the form: </w:t>
      </w:r>
      <w:r w:rsidRPr="00642DCA">
        <w:br/>
      </w:r>
      <w:bookmarkStart w:id="7" w:name="O_1268929"/>
      <w:r>
        <w:pict>
          <v:shape id="_x0000_i1028" type="#_x0000_t75" style="height:33pt;width:105pt">
            <v:imagedata r:id="rId13" o:title=""/>
          </v:shape>
        </w:pict>
      </w:r>
      <w:bookmarkEnd w:id="7"/>
    </w:p>
    <w:p w:rsidR="00000000" w:rsidRPr="00642DCA" w:rsidP="00642DCA">
      <w:pPr>
        <w:pStyle w:val="ListBullet2"/>
      </w:pPr>
      <w:r w:rsidRPr="00642DCA">
        <w:t xml:space="preserve">second order DEs of the form: </w:t>
      </w:r>
      <w:r w:rsidRPr="00642DCA">
        <w:br/>
      </w:r>
      <w:bookmarkStart w:id="8" w:name="O_1268930"/>
      <w:r>
        <w:pict>
          <v:shape id="_x0000_i1029" type="#_x0000_t75" style="height:33pt;width:121.5pt">
            <v:imagedata r:id="rId14" o:title=""/>
          </v:shape>
        </w:pict>
      </w:r>
      <w:bookmarkEnd w:id="8"/>
    </w:p>
    <w:p w:rsidR="00000000" w:rsidRPr="00642DCA" w:rsidP="00642DCA">
      <w:pPr>
        <w:pStyle w:val="ListBullet"/>
      </w:pPr>
      <w:r w:rsidRPr="00642DCA">
        <w:t>motion</w:t>
      </w:r>
    </w:p>
    <w:p w:rsidR="00000000" w:rsidRPr="00642DCA" w:rsidP="00642DCA">
      <w:pPr>
        <w:pStyle w:val="ListBullet"/>
      </w:pPr>
      <w:r w:rsidRPr="00642DCA">
        <w:t>kinematics</w:t>
      </w:r>
    </w:p>
    <w:p w:rsidR="00000000" w:rsidRPr="00642DCA" w:rsidP="00642DCA">
      <w:pPr>
        <w:pStyle w:val="ListBullet"/>
      </w:pPr>
      <w:r w:rsidRPr="00642DCA">
        <w:t>resisted gravitational motion</w:t>
      </w:r>
    </w:p>
    <w:p w:rsidR="00000000" w:rsidRPr="00642DCA" w:rsidP="00642DCA">
      <w:pPr>
        <w:pStyle w:val="ListBullet"/>
      </w:pPr>
      <w:r w:rsidRPr="00642DCA">
        <w:t>simple harmonic motion</w:t>
      </w:r>
    </w:p>
    <w:p w:rsidR="00000000" w:rsidRPr="00642DCA" w:rsidP="00642DCA">
      <w:pPr>
        <w:pStyle w:val="ListBullet"/>
      </w:pPr>
      <w:r w:rsidRPr="00642DCA">
        <w:t>vibratory motion.</w:t>
      </w:r>
    </w:p>
    <w:p w:rsidR="00000000" w:rsidRPr="00642DCA" w:rsidP="00642DCA">
      <w:pPr>
        <w:pStyle w:val="AllowPageBreak"/>
      </w:pPr>
    </w:p>
    <w:p w:rsidR="00000000" w:rsidRPr="00642DCA" w:rsidP="00642DCA">
      <w:pPr>
        <w:pStyle w:val="Heading1"/>
      </w:pPr>
      <w:bookmarkStart w:id="9" w:name="O_945175"/>
      <w:bookmarkEnd w:id="9"/>
      <w:r w:rsidRPr="00642DCA">
        <w:t>Assessment Conditions</w:t>
      </w:r>
    </w:p>
    <w:p w:rsidR="00000000" w:rsidRPr="00642DCA" w:rsidP="00642DCA">
      <w:pPr>
        <w:pStyle w:val="ListBullet"/>
      </w:pPr>
      <w:r w:rsidRPr="00642DCA">
        <w:t>Assessors must:</w:t>
      </w:r>
    </w:p>
    <w:p w:rsidR="00000000" w:rsidRPr="00642DCA" w:rsidP="00642DCA">
      <w:pPr>
        <w:pStyle w:val="ListBullet2"/>
      </w:pPr>
      <w:r w:rsidRPr="00642DCA">
        <w:t>have vocational competency in applying differential equations to technology problems at least to the level being assessed with relevant industry knowledge and experience</w:t>
      </w:r>
    </w:p>
    <w:p w:rsidR="00000000" w:rsidRPr="00642DCA" w:rsidP="00642DCA">
      <w:pPr>
        <w:pStyle w:val="ListBullet2"/>
      </w:pPr>
      <w:r w:rsidRPr="00642DCA">
        <w:t xml:space="preserve">satisfy the assessor requirements in the </w:t>
      </w:r>
      <w:r w:rsidRPr="00642DCA">
        <w:rPr>
          <w:rStyle w:val="Emphasis"/>
        </w:rPr>
        <w:t>Standards for Registered Training Organisatio</w:t>
      </w:r>
      <w:r w:rsidRPr="00642DCA">
        <w:rPr>
          <w:rStyle w:val="Emphasis"/>
        </w:rPr>
        <w:t xml:space="preserve">ns 2015 or its replacement </w:t>
      </w:r>
      <w:r w:rsidRPr="00642DCA">
        <w:t xml:space="preserve">and comply with the </w:t>
      </w:r>
      <w:r w:rsidRPr="00642DCA">
        <w:rPr>
          <w:rStyle w:val="Emphasis"/>
        </w:rPr>
        <w:t xml:space="preserve">National Vocational Education and Training Regulator Act 2011, </w:t>
      </w:r>
      <w:r w:rsidRPr="00642DCA">
        <w:t>its replacement</w:t>
      </w:r>
      <w:r w:rsidRPr="00642DCA">
        <w:rPr>
          <w:rStyle w:val="Emphasis"/>
        </w:rPr>
        <w:t xml:space="preserve"> </w:t>
      </w:r>
      <w:r w:rsidRPr="00642DCA">
        <w:t>or equivalent legislation covering VET regulation in a non-referring state/territory as the case requires.</w:t>
      </w:r>
    </w:p>
    <w:p w:rsidR="00000000" w:rsidRPr="00642DCA" w:rsidP="00642DCA">
      <w:pPr>
        <w:pStyle w:val="ListBullet"/>
      </w:pPr>
      <w:r w:rsidRPr="00642DCA">
        <w:t>Where possible assessm</w:t>
      </w:r>
      <w:r w:rsidRPr="00642DCA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642DCA">
        <w:t xml:space="preserve"> workplace conditions that cover all aspects of workplace performance, including environment, task skills, task management skills, contingency management skills and job role environment skills.</w:t>
      </w:r>
    </w:p>
    <w:p w:rsidR="00000000" w:rsidRPr="00642DCA" w:rsidP="00642DCA">
      <w:pPr>
        <w:pStyle w:val="ListBullet"/>
      </w:pPr>
      <w:r w:rsidRPr="00642DCA">
        <w:t>Conditions for assessment must include access to all tools, eq</w:t>
      </w:r>
      <w:r w:rsidRPr="00642DCA">
        <w:t>uipment, materials and documentation required including relevant workplace procedures, product and manufacturing specifications.</w:t>
      </w:r>
    </w:p>
    <w:p w:rsidR="00000000" w:rsidRPr="00642DCA" w:rsidP="00642DCA">
      <w:pPr>
        <w:pStyle w:val="ListBullet"/>
      </w:pPr>
      <w:r w:rsidRPr="00642DCA">
        <w:t>Assessment processes and techniques must be appropriate to the language, literacy and numeracy requirements of the work being p</w:t>
      </w:r>
      <w:r w:rsidRPr="00642DCA">
        <w:t>erformed and the needs of the candidate.</w:t>
      </w:r>
    </w:p>
    <w:p w:rsidR="00000000" w:rsidRPr="00642DCA" w:rsidP="00642DCA">
      <w:pPr>
        <w:pStyle w:val="AllowPageBreak"/>
      </w:pPr>
    </w:p>
    <w:p w:rsidR="00000000" w:rsidRPr="00642DCA" w:rsidP="00642DCA">
      <w:pPr>
        <w:pStyle w:val="Heading1"/>
      </w:pPr>
      <w:bookmarkStart w:id="10" w:name="O_945173"/>
      <w:bookmarkEnd w:id="10"/>
      <w:r w:rsidRPr="00642DCA">
        <w:t>Links</w:t>
      </w:r>
    </w:p>
    <w:p w:rsidR="00000000" w:rsidRPr="00642DCA" w:rsidP="009448D5">
      <w:pPr>
        <w:pStyle w:val="BodyText"/>
      </w:pPr>
      <w:r w:rsidRPr="00642DCA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238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2DCA" w:rsidP="00642DCA"/>
    <w:sectPr w:rsidSect="00642DCA">
      <w:headerReference w:type="default" r:id="rId15"/>
      <w:footerReference w:type="default" r:id="rId16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 w:rsidP="00642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8D5" w:rsidP="00642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48D5" w:rsidP="00642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DCA" w:rsidRPr="009448D5" w:rsidP="00944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D5" w:rsidRPr="002D2AF8" w:rsidP="00642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MEM234023 Apply differential equations to technology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48D5" w:rsidP="00642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C20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AE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8B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DCA"/>
  </w:style>
  <w:style w:type="character" w:customStyle="1" w:styleId="Heading1Char">
    <w:name w:val="Heading 1 Char"/>
    <w:basedOn w:val="DefaultParagraphFont"/>
    <w:link w:val="Heading1"/>
    <w:rsid w:val="00642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D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D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DCA"/>
    <w:rPr>
      <w:i/>
    </w:rPr>
  </w:style>
  <w:style w:type="paragraph" w:customStyle="1" w:styleId="SuperHeading">
    <w:name w:val="SuperHeading"/>
    <w:basedOn w:val="Normal"/>
    <w:rsid w:val="00642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DCA"/>
    <w:rPr>
      <w:b/>
      <w:spacing w:val="0"/>
    </w:rPr>
  </w:style>
  <w:style w:type="paragraph" w:customStyle="1" w:styleId="SuperTitle">
    <w:name w:val="SuperTitle"/>
    <w:basedOn w:val="Title"/>
    <w:rsid w:val="00642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DCA"/>
  </w:style>
  <w:style w:type="paragraph" w:styleId="TableofFigures">
    <w:name w:val="table of figures"/>
    <w:basedOn w:val="Normal"/>
    <w:next w:val="Normal"/>
    <w:semiHidden/>
    <w:rsid w:val="00642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DCA"/>
    <w:rPr>
      <w:rFonts w:ascii="Wingdings" w:hAnsi="Wingdings"/>
    </w:rPr>
  </w:style>
  <w:style w:type="paragraph" w:customStyle="1" w:styleId="TableHeading">
    <w:name w:val="Table Heading"/>
    <w:basedOn w:val="HeadingBase"/>
    <w:rsid w:val="00642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DCA"/>
    <w:rPr>
      <w:color w:val="0033CC"/>
      <w:u w:val="none"/>
    </w:rPr>
  </w:style>
  <w:style w:type="paragraph" w:customStyle="1" w:styleId="BodyTextRight">
    <w:name w:val="Body Text Right"/>
    <w:basedOn w:val="BodyText"/>
    <w:rsid w:val="00642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DCA"/>
    <w:rPr>
      <w:sz w:val="32"/>
    </w:rPr>
  </w:style>
  <w:style w:type="paragraph" w:customStyle="1" w:styleId="HeadingProcedure">
    <w:name w:val="Heading Procedure"/>
    <w:basedOn w:val="HeadingBase"/>
    <w:next w:val="Normal"/>
    <w:rsid w:val="00642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DCA"/>
    <w:pPr>
      <w:spacing w:before="60" w:after="60"/>
    </w:pPr>
  </w:style>
  <w:style w:type="paragraph" w:styleId="ListContinue">
    <w:name w:val="List Continue"/>
    <w:basedOn w:val="List"/>
    <w:rsid w:val="00642DCA"/>
    <w:pPr>
      <w:ind w:firstLine="0"/>
    </w:pPr>
  </w:style>
  <w:style w:type="paragraph" w:customStyle="1" w:styleId="ListNote">
    <w:name w:val="List Note"/>
    <w:basedOn w:val="List"/>
    <w:rsid w:val="00642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DCA"/>
    <w:rPr>
      <w:rFonts w:ascii="Courier New" w:hAnsi="Courier New"/>
    </w:rPr>
  </w:style>
  <w:style w:type="paragraph" w:customStyle="1" w:styleId="NoteBullet">
    <w:name w:val="Note Bullet"/>
    <w:basedOn w:val="Note"/>
    <w:rsid w:val="00642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DCA"/>
    <w:rPr>
      <w:b/>
      <w:smallCaps/>
    </w:rPr>
  </w:style>
  <w:style w:type="paragraph" w:customStyle="1" w:styleId="TableListNumber">
    <w:name w:val="Table List Number"/>
    <w:basedOn w:val="ListNumber"/>
    <w:rsid w:val="00642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DCA"/>
    <w:pPr>
      <w:numPr>
        <w:numId w:val="9"/>
      </w:numPr>
    </w:pPr>
  </w:style>
  <w:style w:type="paragraph" w:customStyle="1" w:styleId="ListAlpha2">
    <w:name w:val="List Alpha 2"/>
    <w:basedOn w:val="List2"/>
    <w:rsid w:val="00642DCA"/>
    <w:pPr>
      <w:numPr>
        <w:numId w:val="8"/>
      </w:numPr>
    </w:pPr>
  </w:style>
  <w:style w:type="paragraph" w:styleId="List2">
    <w:name w:val="List 2"/>
    <w:basedOn w:val="BodyText"/>
    <w:rsid w:val="00642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DCA"/>
    <w:pPr>
      <w:numPr>
        <w:numId w:val="4"/>
      </w:numPr>
    </w:pPr>
  </w:style>
  <w:style w:type="paragraph" w:styleId="ListContinue2">
    <w:name w:val="List Continue 2"/>
    <w:basedOn w:val="List2"/>
    <w:rsid w:val="00642DCA"/>
    <w:pPr>
      <w:ind w:firstLine="0"/>
    </w:pPr>
  </w:style>
  <w:style w:type="paragraph" w:styleId="ListContinue3">
    <w:name w:val="List Continue 3"/>
    <w:basedOn w:val="List3"/>
    <w:rsid w:val="00642DCA"/>
    <w:pPr>
      <w:ind w:left="1021" w:firstLine="0"/>
    </w:pPr>
  </w:style>
  <w:style w:type="paragraph" w:styleId="ListContinue4">
    <w:name w:val="List Continue 4"/>
    <w:basedOn w:val="List4"/>
    <w:rsid w:val="00642DCA"/>
    <w:pPr>
      <w:ind w:firstLine="0"/>
    </w:pPr>
  </w:style>
  <w:style w:type="paragraph" w:styleId="ListContinue5">
    <w:name w:val="List Continue 5"/>
    <w:basedOn w:val="List5"/>
    <w:rsid w:val="00642DCA"/>
    <w:pPr>
      <w:ind w:firstLine="0"/>
    </w:pPr>
  </w:style>
  <w:style w:type="paragraph" w:styleId="ListNumber3">
    <w:name w:val="List Number 3"/>
    <w:basedOn w:val="List3"/>
    <w:rsid w:val="00642DCA"/>
    <w:pPr>
      <w:numPr>
        <w:numId w:val="5"/>
      </w:numPr>
    </w:pPr>
  </w:style>
  <w:style w:type="paragraph" w:styleId="ListNumber4">
    <w:name w:val="List Number 4"/>
    <w:basedOn w:val="List4"/>
    <w:rsid w:val="00642DCA"/>
    <w:pPr>
      <w:numPr>
        <w:numId w:val="6"/>
      </w:numPr>
    </w:pPr>
  </w:style>
  <w:style w:type="paragraph" w:styleId="ListNumber5">
    <w:name w:val="List Number 5"/>
    <w:basedOn w:val="List5"/>
    <w:rsid w:val="00642DCA"/>
    <w:pPr>
      <w:numPr>
        <w:numId w:val="7"/>
      </w:numPr>
    </w:pPr>
  </w:style>
  <w:style w:type="paragraph" w:styleId="BlockText">
    <w:name w:val="Block Text"/>
    <w:basedOn w:val="Normal"/>
    <w:rsid w:val="00642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DCA"/>
    <w:rPr>
      <w:sz w:val="16"/>
      <w:vertAlign w:val="superscript"/>
    </w:rPr>
  </w:style>
  <w:style w:type="character" w:customStyle="1" w:styleId="Symbols">
    <w:name w:val="Symbols"/>
    <w:basedOn w:val="DefaultParagraphFont"/>
    <w:rsid w:val="00642DCA"/>
    <w:rPr>
      <w:rFonts w:ascii="Symbol" w:hAnsi="Symbol"/>
    </w:rPr>
  </w:style>
  <w:style w:type="character" w:customStyle="1" w:styleId="MenuOptions">
    <w:name w:val="Menu Options"/>
    <w:basedOn w:val="DefaultParagraphFont"/>
    <w:rsid w:val="00642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DCA"/>
    <w:rPr>
      <w:b/>
    </w:rPr>
  </w:style>
  <w:style w:type="character" w:customStyle="1" w:styleId="Underlined">
    <w:name w:val="Underlined"/>
    <w:basedOn w:val="DefaultParagraphFont"/>
    <w:rsid w:val="00642DCA"/>
    <w:rPr>
      <w:u w:val="single"/>
    </w:rPr>
  </w:style>
  <w:style w:type="paragraph" w:customStyle="1" w:styleId="TableBodyTextRight">
    <w:name w:val="Table Body Text Right"/>
    <w:basedOn w:val="TableBodyText"/>
    <w:rsid w:val="00642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DCA"/>
    <w:rPr>
      <w:sz w:val="18"/>
    </w:rPr>
  </w:style>
  <w:style w:type="paragraph" w:customStyle="1" w:styleId="BodySmallRight">
    <w:name w:val="Body Small Right"/>
    <w:basedOn w:val="BodyTextRight"/>
    <w:rsid w:val="00642DCA"/>
    <w:rPr>
      <w:sz w:val="18"/>
      <w:szCs w:val="18"/>
    </w:rPr>
  </w:style>
  <w:style w:type="paragraph" w:customStyle="1" w:styleId="MarginEdition">
    <w:name w:val="Margin Edition"/>
    <w:basedOn w:val="MarginNote"/>
    <w:rsid w:val="00642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DCA"/>
    <w:rPr>
      <w:sz w:val="2"/>
      <w:szCs w:val="2"/>
    </w:rPr>
  </w:style>
  <w:style w:type="character" w:customStyle="1" w:styleId="Small">
    <w:name w:val="Small"/>
    <w:basedOn w:val="DefaultParagraphFont"/>
    <w:rsid w:val="00642DCA"/>
    <w:rPr>
      <w:sz w:val="16"/>
    </w:rPr>
  </w:style>
  <w:style w:type="paragraph" w:customStyle="1" w:styleId="WideTable">
    <w:name w:val="Wide Table"/>
    <w:basedOn w:val="Normal"/>
    <w:rsid w:val="00642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DCA"/>
  </w:style>
  <w:style w:type="paragraph" w:styleId="Quote">
    <w:name w:val="Quote"/>
    <w:basedOn w:val="Heading1"/>
    <w:link w:val="QuoteChar"/>
    <w:qFormat/>
    <w:rsid w:val="00642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DCA"/>
    <w:pPr>
      <w:pageBreakBefore/>
    </w:pPr>
  </w:style>
  <w:style w:type="paragraph" w:customStyle="1" w:styleId="Border">
    <w:name w:val="Border"/>
    <w:basedOn w:val="Normal"/>
    <w:qFormat/>
    <w:rsid w:val="00642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DCA"/>
    <w:rPr>
      <w:u w:val="single"/>
    </w:rPr>
  </w:style>
  <w:style w:type="character" w:customStyle="1" w:styleId="BoldandItalics">
    <w:name w:val="Bold and Italics"/>
    <w:qFormat/>
    <w:rsid w:val="00642DCA"/>
    <w:rPr>
      <w:b/>
      <w:i/>
      <w:u w:val="none"/>
    </w:rPr>
  </w:style>
  <w:style w:type="paragraph" w:styleId="BalloonText">
    <w:name w:val="Balloon Text"/>
    <w:basedOn w:val="Normal"/>
    <w:link w:val="BalloonTextChar"/>
    <w:rsid w:val="00642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DCA"/>
    <w:pPr>
      <w:spacing w:before="0" w:after="0"/>
    </w:pPr>
  </w:style>
  <w:style w:type="paragraph" w:customStyle="1" w:styleId="BodyTextBold">
    <w:name w:val="Body Text Bold"/>
    <w:basedOn w:val="BodyText"/>
    <w:qFormat/>
    <w:rsid w:val="00642DCA"/>
    <w:rPr>
      <w:b/>
    </w:rPr>
  </w:style>
  <w:style w:type="character" w:styleId="Hyperlink">
    <w:name w:val="Hyperlink"/>
    <w:basedOn w:val="DefaultParagraphFont"/>
    <w:uiPriority w:val="99"/>
    <w:unhideWhenUsed/>
    <w:rsid w:val="00944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2997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MEM234023 Apply differential equations to technology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