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C0A" w:rsidP="00C73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MEM234022 Apply advanced calculus to technology problems</w:t>
      </w:r>
      <w:r>
        <w:fldChar w:fldCharType="end"/>
      </w:r>
    </w:p>
    <w:p w:rsidR="00C73C0A" w:rsidP="00C73C0A">
      <w:pPr>
        <w:pStyle w:val="Version"/>
        <w:sectPr w:rsidSect="003B6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CE0" w:rsidP="003B6CE0">
      <w:pPr>
        <w:pStyle w:val="SuperHeading"/>
      </w:pPr>
      <w:r w:rsidRPr="003B6CE0">
        <w:t>Assessment Requirements for MEM234022 Apply advanced calculus to technology problems</w:t>
      </w:r>
    </w:p>
    <w:p w:rsidR="00000000" w:rsidRPr="003B6CE0" w:rsidP="003B6CE0">
      <w:pPr>
        <w:pStyle w:val="Heading1"/>
      </w:pPr>
      <w:bookmarkStart w:id="1" w:name="O_945155"/>
      <w:bookmarkEnd w:id="1"/>
      <w:r w:rsidRPr="003B6CE0">
        <w:t>Modification History</w:t>
      </w:r>
    </w:p>
    <w:p w:rsidR="00000000" w:rsidRPr="003B6CE0" w:rsidP="00C73C0A">
      <w:pPr>
        <w:pStyle w:val="BodyText"/>
      </w:pPr>
      <w:r w:rsidRPr="003B6CE0">
        <w:t>Release 1. Supersedes and is equivalent to MEM234022A Apply advanced calculus to technology problems.</w:t>
      </w:r>
    </w:p>
    <w:p w:rsidR="00000000" w:rsidRPr="003B6CE0" w:rsidP="003B6CE0">
      <w:pPr>
        <w:pStyle w:val="Heading1"/>
      </w:pPr>
      <w:bookmarkStart w:id="2" w:name="O_945158"/>
      <w:bookmarkEnd w:id="2"/>
      <w:r w:rsidRPr="003B6CE0">
        <w:t>Performance Evidence</w:t>
      </w:r>
    </w:p>
    <w:p w:rsidR="00000000" w:rsidRPr="003B6CE0" w:rsidP="00C73C0A">
      <w:pPr>
        <w:pStyle w:val="BodyText"/>
      </w:pPr>
      <w:r w:rsidRPr="003B6CE0">
        <w:t>Evidence required to demonstrate competence in this unit must be relevant to and satisfy the requirements of the elements and performance criteria and include:</w:t>
      </w:r>
    </w:p>
    <w:p w:rsidR="00000000" w:rsidRPr="003B6CE0" w:rsidP="003B6CE0">
      <w:pPr>
        <w:pStyle w:val="ListBullet"/>
      </w:pPr>
      <w:r w:rsidRPr="003B6CE0">
        <w:t>identifying and defining problems</w:t>
      </w:r>
    </w:p>
    <w:p w:rsidR="00000000" w:rsidRPr="003B6CE0" w:rsidP="003B6CE0">
      <w:pPr>
        <w:pStyle w:val="ListBullet"/>
      </w:pPr>
      <w:r w:rsidRPr="003B6CE0">
        <w:t>identifying appropriate calculus techniq</w:t>
      </w:r>
      <w:r w:rsidRPr="003B6CE0">
        <w:t>ue for engineering or related problems</w:t>
      </w:r>
    </w:p>
    <w:p w:rsidR="00000000" w:rsidRPr="003B6CE0" w:rsidP="003B6CE0">
      <w:pPr>
        <w:pStyle w:val="ListBullet"/>
      </w:pPr>
      <w:r w:rsidRPr="003B6CE0">
        <w:t>applying the appropriate technique to the problem and solving and confirming answer using the technique on at least two occasions</w:t>
      </w:r>
    </w:p>
    <w:p w:rsidR="00000000" w:rsidRPr="003B6CE0" w:rsidP="003B6CE0">
      <w:pPr>
        <w:pStyle w:val="ListBullet"/>
      </w:pPr>
      <w:r w:rsidRPr="003B6CE0">
        <w:t>communicating the outcome of the analysis in a manner suited to the stakeholder/s and c</w:t>
      </w:r>
      <w:r w:rsidRPr="003B6CE0">
        <w:t>onfirming the outcome has addressed the problem.</w:t>
      </w:r>
    </w:p>
    <w:p w:rsidR="00000000" w:rsidRPr="003B6CE0" w:rsidP="003B6CE0">
      <w:pPr>
        <w:pStyle w:val="BodyText"/>
      </w:pPr>
    </w:p>
    <w:p w:rsidR="00C73C0A" w:rsidRPr="00C73C0A" w:rsidP="00C73C0A">
      <w:pPr>
        <w:pStyle w:val="BodyText"/>
        <w:rPr>
          <w:i/>
        </w:rPr>
      </w:pPr>
      <w:r w:rsidRPr="00C73C0A">
        <w:rPr>
          <w:rStyle w:val="Emphasis"/>
        </w:rPr>
        <w:t>Note: Where a volume and/or frequency is not specified, demonstration must be provided at least once.</w:t>
      </w:r>
    </w:p>
    <w:p w:rsidR="00000000" w:rsidRPr="003B6CE0" w:rsidP="003B6CE0">
      <w:pPr>
        <w:pStyle w:val="Heading1"/>
      </w:pPr>
      <w:bookmarkStart w:id="3" w:name="O_945157"/>
      <w:bookmarkEnd w:id="3"/>
      <w:r w:rsidRPr="003B6CE0">
        <w:t>Knowledge Evidence</w:t>
      </w:r>
    </w:p>
    <w:p w:rsidR="00000000" w:rsidRPr="003B6CE0" w:rsidP="00C73C0A">
      <w:pPr>
        <w:pStyle w:val="BodyText"/>
      </w:pPr>
      <w:r w:rsidRPr="003B6CE0">
        <w:t>Evidence required to demonstrate the required knowledge for this un</w:t>
      </w:r>
      <w:r w:rsidRPr="003B6CE0">
        <w:t>it must be relevant to and satisfy the requirements of the elements and performance criteria and include knowledge of:</w:t>
      </w:r>
    </w:p>
    <w:p w:rsidR="00000000" w:rsidRPr="003B6CE0" w:rsidP="003B6CE0">
      <w:pPr>
        <w:pStyle w:val="ListBullet"/>
      </w:pPr>
      <w:r w:rsidRPr="003B6CE0">
        <w:t>differential calculus including:</w:t>
      </w:r>
    </w:p>
    <w:p w:rsidR="00000000" w:rsidRPr="003B6CE0" w:rsidP="003B6CE0">
      <w:pPr>
        <w:pStyle w:val="ListBullet"/>
      </w:pPr>
      <w:r w:rsidRPr="003B6CE0">
        <w:t>standard derivatives and rules:</w:t>
      </w:r>
    </w:p>
    <w:p w:rsidR="00000000" w:rsidRPr="003B6CE0" w:rsidP="003B6CE0">
      <w:pPr>
        <w:pStyle w:val="ListBullet2"/>
      </w:pPr>
      <w:r w:rsidRPr="003B6CE0">
        <w:t>power rule</w:t>
      </w:r>
    </w:p>
    <w:p w:rsidR="00000000" w:rsidRPr="003B6CE0" w:rsidP="003B6CE0">
      <w:pPr>
        <w:pStyle w:val="ListBullet2"/>
      </w:pPr>
      <w:r w:rsidRPr="003B6CE0">
        <w:t>product rule</w:t>
      </w:r>
    </w:p>
    <w:p w:rsidR="00000000" w:rsidRPr="003B6CE0" w:rsidP="003B6CE0">
      <w:pPr>
        <w:pStyle w:val="ListBullet2"/>
      </w:pPr>
      <w:r w:rsidRPr="003B6CE0">
        <w:t>quotient rule</w:t>
      </w:r>
    </w:p>
    <w:p w:rsidR="00000000" w:rsidRPr="003B6CE0" w:rsidP="003B6CE0">
      <w:pPr>
        <w:pStyle w:val="ListBullet2"/>
      </w:pPr>
      <w:r w:rsidRPr="003B6CE0">
        <w:t>chain or function of</w:t>
      </w:r>
      <w:r w:rsidRPr="003B6CE0">
        <w:t xml:space="preserve"> a function rule</w:t>
      </w:r>
    </w:p>
    <w:p w:rsidR="00000000" w:rsidRPr="003B6CE0" w:rsidP="003B6CE0">
      <w:pPr>
        <w:pStyle w:val="ListBullet2"/>
      </w:pPr>
      <w:r w:rsidRPr="003B6CE0">
        <w:t>standard derivatives for common functions</w:t>
      </w:r>
    </w:p>
    <w:p w:rsidR="00000000" w:rsidRPr="003B6CE0" w:rsidP="003B6CE0">
      <w:pPr>
        <w:pStyle w:val="ListBullet"/>
      </w:pPr>
      <w:r w:rsidRPr="003B6CE0">
        <w:t>higher order derivatives</w:t>
      </w:r>
    </w:p>
    <w:p w:rsidR="00000000" w:rsidRPr="003B6CE0" w:rsidP="003B6CE0">
      <w:pPr>
        <w:pStyle w:val="ListBullet"/>
      </w:pPr>
      <w:r w:rsidRPr="003B6CE0">
        <w:t>graph sketching</w:t>
      </w:r>
    </w:p>
    <w:p w:rsidR="00000000" w:rsidRPr="003B6CE0" w:rsidP="003B6CE0">
      <w:pPr>
        <w:pStyle w:val="ListBullet"/>
      </w:pPr>
      <w:r w:rsidRPr="003B6CE0">
        <w:t>maxima and minima (optimisation)</w:t>
      </w:r>
    </w:p>
    <w:p w:rsidR="00000000" w:rsidRPr="003B6CE0" w:rsidP="003B6CE0">
      <w:pPr>
        <w:pStyle w:val="ListBullet"/>
      </w:pPr>
      <w:r w:rsidRPr="003B6CE0">
        <w:t>rates of change</w:t>
      </w:r>
    </w:p>
    <w:p w:rsidR="00000000" w:rsidRPr="003B6CE0" w:rsidP="003B6CE0">
      <w:pPr>
        <w:pStyle w:val="ListBullet"/>
      </w:pPr>
      <w:r w:rsidRPr="003B6CE0">
        <w:t>small increments (errors and approximations)</w:t>
      </w:r>
    </w:p>
    <w:p w:rsidR="00000000" w:rsidRPr="003B6CE0" w:rsidP="003B6CE0">
      <w:pPr>
        <w:pStyle w:val="ListBullet"/>
      </w:pPr>
      <w:r w:rsidRPr="003B6CE0">
        <w:t>implicit differentiation</w:t>
      </w:r>
    </w:p>
    <w:p w:rsidR="00000000" w:rsidRPr="003B6CE0" w:rsidP="003B6CE0">
      <w:pPr>
        <w:pStyle w:val="ListBullet"/>
      </w:pPr>
      <w:r w:rsidRPr="003B6CE0">
        <w:t>logarithmic differentiation</w:t>
      </w:r>
    </w:p>
    <w:p w:rsidR="00000000" w:rsidRPr="003B6CE0" w:rsidP="003B6CE0">
      <w:pPr>
        <w:pStyle w:val="ListBullet"/>
      </w:pPr>
      <w:r w:rsidRPr="003B6CE0">
        <w:t xml:space="preserve">partial </w:t>
      </w:r>
      <w:r w:rsidRPr="003B6CE0">
        <w:t>differentiation</w:t>
      </w:r>
    </w:p>
    <w:p w:rsidR="00000000" w:rsidRPr="003B6CE0" w:rsidP="003B6CE0">
      <w:pPr>
        <w:pStyle w:val="ListBullet"/>
      </w:pPr>
      <w:r w:rsidRPr="003B6CE0">
        <w:t>directional derivatives</w:t>
      </w:r>
    </w:p>
    <w:p w:rsidR="00000000" w:rsidRPr="003B6CE0" w:rsidP="003B6CE0">
      <w:pPr>
        <w:pStyle w:val="ListBullet"/>
      </w:pPr>
      <w:r w:rsidRPr="003B6CE0">
        <w:t>integral calculus including:</w:t>
      </w:r>
    </w:p>
    <w:p w:rsidR="00000000" w:rsidRPr="003B6CE0" w:rsidP="003B6CE0">
      <w:pPr>
        <w:pStyle w:val="ListBullet2"/>
      </w:pPr>
      <w:r w:rsidRPr="003B6CE0">
        <w:t>integration techniques (areas and volumes)</w:t>
      </w:r>
    </w:p>
    <w:p w:rsidR="00000000" w:rsidRPr="003B6CE0" w:rsidP="003B6CE0">
      <w:pPr>
        <w:pStyle w:val="ListBullet2"/>
      </w:pPr>
      <w:r w:rsidRPr="003B6CE0">
        <w:t>partial fractions</w:t>
      </w:r>
    </w:p>
    <w:p w:rsidR="00000000" w:rsidRPr="003B6CE0" w:rsidP="003B6CE0">
      <w:pPr>
        <w:pStyle w:val="ListBullet2"/>
      </w:pPr>
      <w:r w:rsidRPr="003B6CE0">
        <w:t>integration by parts</w:t>
      </w:r>
    </w:p>
    <w:p w:rsidR="00000000" w:rsidRPr="003B6CE0" w:rsidP="003B6CE0">
      <w:pPr>
        <w:pStyle w:val="ListBullet2"/>
      </w:pPr>
      <w:r w:rsidRPr="003B6CE0">
        <w:t>trigonometric and hyperbolic substitution methods</w:t>
      </w:r>
    </w:p>
    <w:p w:rsidR="00000000" w:rsidRPr="003B6CE0" w:rsidP="003B6CE0">
      <w:pPr>
        <w:pStyle w:val="ListBullet2"/>
      </w:pPr>
      <w:r w:rsidRPr="003B6CE0">
        <w:t>improper integrals</w:t>
      </w:r>
    </w:p>
    <w:p w:rsidR="00000000" w:rsidRPr="003B6CE0" w:rsidP="003B6CE0">
      <w:pPr>
        <w:pStyle w:val="ListBullet2"/>
      </w:pPr>
      <w:r w:rsidRPr="003B6CE0">
        <w:t>integration of partial derivatives</w:t>
      </w:r>
    </w:p>
    <w:p w:rsidR="00000000" w:rsidRPr="003B6CE0" w:rsidP="003B6CE0">
      <w:pPr>
        <w:pStyle w:val="ListBullet2"/>
      </w:pPr>
      <w:r w:rsidRPr="003B6CE0">
        <w:t xml:space="preserve">evaluation of arc lengths </w:t>
      </w:r>
    </w:p>
    <w:p w:rsidR="00000000" w:rsidRPr="003B6CE0" w:rsidP="003B6CE0">
      <w:pPr>
        <w:pStyle w:val="ListBullet2"/>
      </w:pPr>
      <w:r w:rsidRPr="003B6CE0">
        <w:t xml:space="preserve">evaluation of surface areas </w:t>
      </w:r>
    </w:p>
    <w:p w:rsidR="00000000" w:rsidRPr="003B6CE0" w:rsidP="003B6CE0">
      <w:pPr>
        <w:pStyle w:val="ListBullet2"/>
      </w:pPr>
      <w:r w:rsidRPr="003B6CE0">
        <w:t>mean and root mean square (RMS) values</w:t>
      </w:r>
    </w:p>
    <w:p w:rsidR="00000000" w:rsidRPr="003B6CE0" w:rsidP="003B6CE0">
      <w:pPr>
        <w:pStyle w:val="ListBullet2"/>
      </w:pPr>
      <w:r w:rsidRPr="003B6CE0">
        <w:t>approximate integration (the trapezoidal and Simpson</w:t>
      </w:r>
      <w:r>
        <w:t>’</w:t>
      </w:r>
      <w:r w:rsidRPr="003B6CE0">
        <w:t>s rules)</w:t>
      </w:r>
    </w:p>
    <w:p w:rsidR="00000000" w:rsidRPr="003B6CE0" w:rsidP="003B6CE0">
      <w:pPr>
        <w:pStyle w:val="ListBullet2"/>
      </w:pPr>
      <w:r w:rsidRPr="003B6CE0">
        <w:t>evaluation of centre of mass</w:t>
      </w:r>
    </w:p>
    <w:p w:rsidR="00000000" w:rsidRPr="003B6CE0" w:rsidP="003B6CE0">
      <w:pPr>
        <w:pStyle w:val="ListBullet2"/>
      </w:pPr>
      <w:r w:rsidRPr="003B6CE0">
        <w:t>evaluation of centroidal positions in plane regions</w:t>
      </w:r>
    </w:p>
    <w:p w:rsidR="00000000" w:rsidRPr="003B6CE0" w:rsidP="003B6CE0">
      <w:pPr>
        <w:pStyle w:val="ListBullet2"/>
      </w:pPr>
      <w:r w:rsidRPr="003B6CE0">
        <w:t>evaluation of mome</w:t>
      </w:r>
      <w:r w:rsidRPr="003B6CE0">
        <w:t>nts of inertia and second moments of area</w:t>
      </w:r>
    </w:p>
    <w:p w:rsidR="00000000" w:rsidRPr="003B6CE0" w:rsidP="003B6CE0">
      <w:pPr>
        <w:pStyle w:val="ListBullet2"/>
      </w:pPr>
      <w:r w:rsidRPr="003B6CE0">
        <w:t>evaluation of work and energy</w:t>
      </w:r>
    </w:p>
    <w:p w:rsidR="00C73C0A" w:rsidP="003B6CE0">
      <w:pPr>
        <w:pStyle w:val="ListBullet2"/>
      </w:pPr>
      <w:r w:rsidRPr="003B6CE0">
        <w:t>evaluation of centres of pressure on submerged plates.</w:t>
      </w:r>
    </w:p>
    <w:p w:rsidR="00C73C0A" w:rsidP="003B6CE0">
      <w:pPr>
        <w:pStyle w:val="ListBullet2"/>
      </w:pPr>
    </w:p>
    <w:p w:rsidR="00000000" w:rsidRPr="003B6CE0" w:rsidP="003B6CE0">
      <w:pPr>
        <w:pStyle w:val="Heading1"/>
      </w:pPr>
      <w:bookmarkStart w:id="4" w:name="O_945156"/>
      <w:bookmarkEnd w:id="4"/>
      <w:r w:rsidRPr="003B6CE0">
        <w:t>Assessment Conditions</w:t>
      </w:r>
    </w:p>
    <w:p w:rsidR="00000000" w:rsidRPr="003B6CE0" w:rsidP="003B6CE0">
      <w:pPr>
        <w:pStyle w:val="ListBullet"/>
      </w:pPr>
      <w:r w:rsidRPr="003B6CE0">
        <w:t>Assessors must:</w:t>
      </w:r>
    </w:p>
    <w:p w:rsidR="00000000" w:rsidRPr="003B6CE0" w:rsidP="003B6CE0">
      <w:pPr>
        <w:pStyle w:val="ListBullet2"/>
      </w:pPr>
      <w:r w:rsidRPr="003B6CE0">
        <w:t>have vocational competency in applying advanced calculus to technology problems at least to the level being assessed with relevant industry knowledge and experience</w:t>
      </w:r>
    </w:p>
    <w:p w:rsidR="00000000" w:rsidRPr="003B6CE0" w:rsidP="003B6CE0">
      <w:pPr>
        <w:pStyle w:val="ListBullet2"/>
      </w:pPr>
      <w:r w:rsidRPr="003B6CE0">
        <w:t xml:space="preserve">satisfy the assessor requirements in the </w:t>
      </w:r>
      <w:r w:rsidRPr="003B6CE0">
        <w:rPr>
          <w:rStyle w:val="Emphasis"/>
        </w:rPr>
        <w:t>Standards for Registered Training Organisations 20</w:t>
      </w:r>
      <w:r w:rsidRPr="003B6CE0">
        <w:rPr>
          <w:rStyle w:val="Emphasis"/>
        </w:rPr>
        <w:t xml:space="preserve">15 or its replacement </w:t>
      </w:r>
      <w:r w:rsidRPr="003B6CE0">
        <w:t xml:space="preserve">and comply with the </w:t>
      </w:r>
      <w:r w:rsidRPr="003B6CE0">
        <w:rPr>
          <w:rStyle w:val="Emphasis"/>
        </w:rPr>
        <w:t xml:space="preserve">National Vocational Education and Training Regulator Act 2011, </w:t>
      </w:r>
      <w:r w:rsidRPr="003B6CE0">
        <w:t>its replacement</w:t>
      </w:r>
      <w:r w:rsidRPr="003B6CE0">
        <w:rPr>
          <w:rStyle w:val="Emphasis"/>
        </w:rPr>
        <w:t xml:space="preserve"> </w:t>
      </w:r>
      <w:r w:rsidRPr="003B6CE0">
        <w:t>or equivalent legislation covering VET regulation in a non-referring state/territory as the case requires.</w:t>
      </w:r>
    </w:p>
    <w:p w:rsidR="00000000" w:rsidRPr="003B6CE0" w:rsidP="003B6CE0">
      <w:pPr>
        <w:pStyle w:val="ListBullet"/>
      </w:pPr>
      <w:r w:rsidRPr="003B6CE0">
        <w:t>Where possible assessment m</w:t>
      </w:r>
      <w:r w:rsidRPr="003B6CE0">
        <w:t>ust occur in operational workplace situations. Where this is not possible or where personal safety or environmental damage are limiting factors, assessment must occur in a sufficiently rigorous simulated environment that reflects realistic operational work</w:t>
      </w:r>
      <w:r w:rsidRPr="003B6CE0">
        <w:t>place conditions that cover all aspects of workplace performance, including environment, task skills, task management skills, contingency management skills and job role environment skills.</w:t>
      </w:r>
    </w:p>
    <w:p w:rsidR="00000000" w:rsidRPr="003B6CE0" w:rsidP="003B6CE0">
      <w:pPr>
        <w:pStyle w:val="ListBullet"/>
      </w:pPr>
      <w:r w:rsidRPr="003B6CE0">
        <w:t>Conditions for assessment must include access to all tools, equipme</w:t>
      </w:r>
      <w:r w:rsidRPr="003B6CE0">
        <w:t>nt, materials and documentation required including relevant workplace procedures, product and manufacturing specifications.</w:t>
      </w:r>
    </w:p>
    <w:p w:rsidR="00C73C0A" w:rsidP="003B6CE0">
      <w:pPr>
        <w:pStyle w:val="ListBullet"/>
      </w:pPr>
      <w:r w:rsidRPr="003B6CE0">
        <w:t>Assessment processes and techniques must be appropriate to the language, literacy and numeracy requirements of the work being perfor</w:t>
      </w:r>
      <w:r w:rsidRPr="003B6CE0">
        <w:t>med and the needs of the candidate.</w:t>
      </w:r>
    </w:p>
    <w:p w:rsidR="00C73C0A" w:rsidP="003B6CE0">
      <w:pPr>
        <w:pStyle w:val="ListBullet"/>
      </w:pPr>
    </w:p>
    <w:p w:rsidR="00000000" w:rsidRPr="003B6CE0" w:rsidP="003B6CE0">
      <w:pPr>
        <w:pStyle w:val="Heading1"/>
      </w:pPr>
      <w:bookmarkStart w:id="5" w:name="O_945154"/>
      <w:bookmarkEnd w:id="5"/>
      <w:r w:rsidRPr="003B6CE0">
        <w:t>Links</w:t>
      </w:r>
    </w:p>
    <w:p w:rsidR="00000000" w:rsidRPr="003B6CE0" w:rsidP="00C73C0A">
      <w:pPr>
        <w:pStyle w:val="BodyText"/>
      </w:pPr>
      <w:r w:rsidRPr="003B6CE0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51F0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B6CE0" w:rsidP="003B6CE0"/>
    <w:sectPr w:rsidSect="003B6C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E0" w:rsidRPr="00C73C0A" w:rsidP="00C73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C0A" w:rsidP="003B6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C0A" w:rsidP="003B6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3C0A" w:rsidP="003B6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CE0" w:rsidRPr="00C73C0A" w:rsidP="00C73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C0A" w:rsidRPr="002D2AF8" w:rsidP="003B6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MEM234022 Apply advanced calculus to technology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73C0A" w:rsidP="003B6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1AA6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809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D422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CE0"/>
  </w:style>
  <w:style w:type="character" w:customStyle="1" w:styleId="Heading1Char">
    <w:name w:val="Heading 1 Char"/>
    <w:basedOn w:val="DefaultParagraphFont"/>
    <w:link w:val="Heading1"/>
    <w:rsid w:val="003B6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C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6C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6CE0"/>
    <w:rPr>
      <w:i/>
    </w:rPr>
  </w:style>
  <w:style w:type="paragraph" w:customStyle="1" w:styleId="SuperHeading">
    <w:name w:val="SuperHeading"/>
    <w:basedOn w:val="Normal"/>
    <w:rsid w:val="003B6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CE0"/>
    <w:rPr>
      <w:b/>
      <w:spacing w:val="0"/>
    </w:rPr>
  </w:style>
  <w:style w:type="paragraph" w:customStyle="1" w:styleId="SuperTitle">
    <w:name w:val="SuperTitle"/>
    <w:basedOn w:val="Title"/>
    <w:rsid w:val="003B6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C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CE0"/>
  </w:style>
  <w:style w:type="paragraph" w:styleId="TableofFigures">
    <w:name w:val="table of figures"/>
    <w:basedOn w:val="Normal"/>
    <w:next w:val="Normal"/>
    <w:semiHidden/>
    <w:rsid w:val="003B6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C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6CE0"/>
    <w:rPr>
      <w:rFonts w:ascii="Wingdings" w:hAnsi="Wingdings"/>
    </w:rPr>
  </w:style>
  <w:style w:type="paragraph" w:customStyle="1" w:styleId="TableHeading">
    <w:name w:val="Table Heading"/>
    <w:basedOn w:val="HeadingBase"/>
    <w:rsid w:val="003B6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CE0"/>
    <w:rPr>
      <w:color w:val="0033CC"/>
      <w:u w:val="none"/>
    </w:rPr>
  </w:style>
  <w:style w:type="paragraph" w:customStyle="1" w:styleId="BodyTextRight">
    <w:name w:val="Body Text Right"/>
    <w:basedOn w:val="BodyText"/>
    <w:rsid w:val="003B6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C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CE0"/>
    <w:rPr>
      <w:sz w:val="32"/>
    </w:rPr>
  </w:style>
  <w:style w:type="paragraph" w:customStyle="1" w:styleId="HeadingProcedure">
    <w:name w:val="Heading Procedure"/>
    <w:basedOn w:val="HeadingBase"/>
    <w:next w:val="Normal"/>
    <w:rsid w:val="003B6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CE0"/>
    <w:pPr>
      <w:spacing w:before="60" w:after="60"/>
    </w:pPr>
  </w:style>
  <w:style w:type="paragraph" w:styleId="ListContinue">
    <w:name w:val="List Continue"/>
    <w:basedOn w:val="List"/>
    <w:rsid w:val="003B6CE0"/>
    <w:pPr>
      <w:ind w:firstLine="0"/>
    </w:pPr>
  </w:style>
  <w:style w:type="paragraph" w:customStyle="1" w:styleId="ListNote">
    <w:name w:val="List Note"/>
    <w:basedOn w:val="List"/>
    <w:rsid w:val="003B6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CE0"/>
    <w:rPr>
      <w:rFonts w:ascii="Courier New" w:hAnsi="Courier New"/>
    </w:rPr>
  </w:style>
  <w:style w:type="paragraph" w:customStyle="1" w:styleId="NoteBullet">
    <w:name w:val="Note Bullet"/>
    <w:basedOn w:val="Note"/>
    <w:rsid w:val="003B6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C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CE0"/>
    <w:rPr>
      <w:b/>
      <w:smallCaps/>
    </w:rPr>
  </w:style>
  <w:style w:type="paragraph" w:customStyle="1" w:styleId="TableListNumber">
    <w:name w:val="Table List Number"/>
    <w:basedOn w:val="ListNumber"/>
    <w:rsid w:val="003B6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CE0"/>
    <w:pPr>
      <w:numPr>
        <w:numId w:val="9"/>
      </w:numPr>
    </w:pPr>
  </w:style>
  <w:style w:type="paragraph" w:customStyle="1" w:styleId="ListAlpha2">
    <w:name w:val="List Alpha 2"/>
    <w:basedOn w:val="List2"/>
    <w:rsid w:val="003B6CE0"/>
    <w:pPr>
      <w:numPr>
        <w:numId w:val="8"/>
      </w:numPr>
    </w:pPr>
  </w:style>
  <w:style w:type="paragraph" w:styleId="List2">
    <w:name w:val="List 2"/>
    <w:basedOn w:val="BodyText"/>
    <w:rsid w:val="003B6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C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C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6CE0"/>
    <w:pPr>
      <w:numPr>
        <w:numId w:val="4"/>
      </w:numPr>
    </w:pPr>
  </w:style>
  <w:style w:type="paragraph" w:styleId="ListContinue2">
    <w:name w:val="List Continue 2"/>
    <w:basedOn w:val="List2"/>
    <w:rsid w:val="003B6CE0"/>
    <w:pPr>
      <w:ind w:firstLine="0"/>
    </w:pPr>
  </w:style>
  <w:style w:type="paragraph" w:styleId="ListContinue3">
    <w:name w:val="List Continue 3"/>
    <w:basedOn w:val="List3"/>
    <w:rsid w:val="003B6CE0"/>
    <w:pPr>
      <w:ind w:left="1021" w:firstLine="0"/>
    </w:pPr>
  </w:style>
  <w:style w:type="paragraph" w:styleId="ListContinue4">
    <w:name w:val="List Continue 4"/>
    <w:basedOn w:val="List4"/>
    <w:rsid w:val="003B6CE0"/>
    <w:pPr>
      <w:ind w:firstLine="0"/>
    </w:pPr>
  </w:style>
  <w:style w:type="paragraph" w:styleId="ListContinue5">
    <w:name w:val="List Continue 5"/>
    <w:basedOn w:val="List5"/>
    <w:rsid w:val="003B6CE0"/>
    <w:pPr>
      <w:ind w:firstLine="0"/>
    </w:pPr>
  </w:style>
  <w:style w:type="paragraph" w:styleId="ListNumber3">
    <w:name w:val="List Number 3"/>
    <w:basedOn w:val="List3"/>
    <w:rsid w:val="003B6CE0"/>
    <w:pPr>
      <w:numPr>
        <w:numId w:val="5"/>
      </w:numPr>
    </w:pPr>
  </w:style>
  <w:style w:type="paragraph" w:styleId="ListNumber4">
    <w:name w:val="List Number 4"/>
    <w:basedOn w:val="List4"/>
    <w:rsid w:val="003B6CE0"/>
    <w:pPr>
      <w:numPr>
        <w:numId w:val="6"/>
      </w:numPr>
    </w:pPr>
  </w:style>
  <w:style w:type="paragraph" w:styleId="ListNumber5">
    <w:name w:val="List Number 5"/>
    <w:basedOn w:val="List5"/>
    <w:rsid w:val="003B6CE0"/>
    <w:pPr>
      <w:numPr>
        <w:numId w:val="7"/>
      </w:numPr>
    </w:pPr>
  </w:style>
  <w:style w:type="paragraph" w:styleId="BlockText">
    <w:name w:val="Block Text"/>
    <w:basedOn w:val="Normal"/>
    <w:rsid w:val="003B6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CE0"/>
    <w:rPr>
      <w:sz w:val="16"/>
      <w:vertAlign w:val="superscript"/>
    </w:rPr>
  </w:style>
  <w:style w:type="character" w:customStyle="1" w:styleId="Symbols">
    <w:name w:val="Symbols"/>
    <w:basedOn w:val="DefaultParagraphFont"/>
    <w:rsid w:val="003B6CE0"/>
    <w:rPr>
      <w:rFonts w:ascii="Symbol" w:hAnsi="Symbol"/>
    </w:rPr>
  </w:style>
  <w:style w:type="character" w:customStyle="1" w:styleId="MenuOptions">
    <w:name w:val="Menu Options"/>
    <w:basedOn w:val="DefaultParagraphFont"/>
    <w:rsid w:val="003B6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CE0"/>
    <w:rPr>
      <w:b/>
    </w:rPr>
  </w:style>
  <w:style w:type="character" w:customStyle="1" w:styleId="Underlined">
    <w:name w:val="Underlined"/>
    <w:basedOn w:val="DefaultParagraphFont"/>
    <w:rsid w:val="003B6CE0"/>
    <w:rPr>
      <w:u w:val="single"/>
    </w:rPr>
  </w:style>
  <w:style w:type="paragraph" w:customStyle="1" w:styleId="TableBodyTextRight">
    <w:name w:val="Table Body Text Right"/>
    <w:basedOn w:val="TableBodyText"/>
    <w:rsid w:val="003B6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CE0"/>
    <w:rPr>
      <w:sz w:val="18"/>
    </w:rPr>
  </w:style>
  <w:style w:type="paragraph" w:customStyle="1" w:styleId="BodySmallRight">
    <w:name w:val="Body Small Right"/>
    <w:basedOn w:val="BodyTextRight"/>
    <w:rsid w:val="003B6CE0"/>
    <w:rPr>
      <w:sz w:val="18"/>
      <w:szCs w:val="18"/>
    </w:rPr>
  </w:style>
  <w:style w:type="paragraph" w:customStyle="1" w:styleId="MarginEdition">
    <w:name w:val="Margin Edition"/>
    <w:basedOn w:val="MarginNote"/>
    <w:rsid w:val="003B6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CE0"/>
    <w:rPr>
      <w:sz w:val="2"/>
      <w:szCs w:val="2"/>
    </w:rPr>
  </w:style>
  <w:style w:type="character" w:customStyle="1" w:styleId="Small">
    <w:name w:val="Small"/>
    <w:basedOn w:val="DefaultParagraphFont"/>
    <w:rsid w:val="003B6CE0"/>
    <w:rPr>
      <w:sz w:val="16"/>
    </w:rPr>
  </w:style>
  <w:style w:type="paragraph" w:customStyle="1" w:styleId="WideTable">
    <w:name w:val="Wide Table"/>
    <w:basedOn w:val="Normal"/>
    <w:rsid w:val="003B6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CE0"/>
  </w:style>
  <w:style w:type="paragraph" w:styleId="Quote">
    <w:name w:val="Quote"/>
    <w:basedOn w:val="Heading1"/>
    <w:link w:val="QuoteChar"/>
    <w:qFormat/>
    <w:rsid w:val="003B6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CE0"/>
    <w:pPr>
      <w:pageBreakBefore/>
    </w:pPr>
  </w:style>
  <w:style w:type="paragraph" w:customStyle="1" w:styleId="Border">
    <w:name w:val="Border"/>
    <w:basedOn w:val="Normal"/>
    <w:qFormat/>
    <w:rsid w:val="003B6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CE0"/>
    <w:rPr>
      <w:u w:val="single"/>
    </w:rPr>
  </w:style>
  <w:style w:type="character" w:customStyle="1" w:styleId="BoldandItalics">
    <w:name w:val="Bold and Italics"/>
    <w:qFormat/>
    <w:rsid w:val="003B6CE0"/>
    <w:rPr>
      <w:b/>
      <w:i/>
      <w:u w:val="none"/>
    </w:rPr>
  </w:style>
  <w:style w:type="paragraph" w:styleId="BalloonText">
    <w:name w:val="Balloon Text"/>
    <w:basedOn w:val="Normal"/>
    <w:link w:val="BalloonTextChar"/>
    <w:rsid w:val="003B6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CE0"/>
    <w:pPr>
      <w:spacing w:before="0" w:after="0"/>
    </w:pPr>
  </w:style>
  <w:style w:type="paragraph" w:customStyle="1" w:styleId="BodyTextBold">
    <w:name w:val="Body Text Bold"/>
    <w:basedOn w:val="BodyText"/>
    <w:qFormat/>
    <w:rsid w:val="003B6CE0"/>
    <w:rPr>
      <w:b/>
    </w:rPr>
  </w:style>
  <w:style w:type="character" w:styleId="Hyperlink">
    <w:name w:val="Hyperlink"/>
    <w:basedOn w:val="DefaultParagraphFont"/>
    <w:uiPriority w:val="99"/>
    <w:unhideWhenUsed/>
    <w:rsid w:val="00C73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3369</Characters>
  <Application>Microsoft Office Word</Application>
  <DocSecurity>0</DocSecurity>
  <Lines>86</Lines>
  <Paragraphs>64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MEM234022 Apply advanced calculus to technology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