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783" w:rsidP="00890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MEM234021 Apply statistics to technology problems</w:t>
      </w:r>
      <w:r>
        <w:fldChar w:fldCharType="end"/>
      </w:r>
    </w:p>
    <w:p w:rsidR="00890783" w:rsidP="00890783">
      <w:pPr>
        <w:pStyle w:val="Version"/>
        <w:sectPr w:rsidSect="00D10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67A" w:rsidP="00D1067A">
      <w:pPr>
        <w:pStyle w:val="SuperHeading"/>
      </w:pPr>
      <w:r w:rsidRPr="00D1067A">
        <w:t>Assessment Requirements for MEM234021 Apply statistics to technology problems</w:t>
      </w:r>
    </w:p>
    <w:p w:rsidR="00000000" w:rsidRPr="00D1067A" w:rsidP="00D1067A">
      <w:pPr>
        <w:pStyle w:val="Heading1"/>
      </w:pPr>
      <w:bookmarkStart w:id="1" w:name="O_945136"/>
      <w:bookmarkEnd w:id="1"/>
      <w:r w:rsidRPr="00D1067A">
        <w:t>Modification History</w:t>
      </w:r>
    </w:p>
    <w:p w:rsidR="00000000" w:rsidRPr="00D1067A" w:rsidP="00890783">
      <w:pPr>
        <w:pStyle w:val="BodyText"/>
      </w:pPr>
      <w:r w:rsidRPr="00D1067A">
        <w:t>Release 1. Supersedes and is equivalent to MEM234021A Apply statistics to technology problems.</w:t>
      </w:r>
    </w:p>
    <w:p w:rsidR="00000000" w:rsidRPr="00D1067A" w:rsidP="00D1067A">
      <w:pPr>
        <w:pStyle w:val="Heading1"/>
      </w:pPr>
      <w:bookmarkStart w:id="2" w:name="O_945139"/>
      <w:bookmarkEnd w:id="2"/>
      <w:r w:rsidRPr="00D1067A">
        <w:t>Performance Evidence</w:t>
      </w:r>
    </w:p>
    <w:p w:rsidR="00000000" w:rsidRPr="00D1067A" w:rsidP="00890783">
      <w:pPr>
        <w:pStyle w:val="BodyText"/>
      </w:pPr>
      <w:r w:rsidRPr="00D1067A">
        <w:t>Evidence required to demonstrate competence in this unit must be relevant to and satisfy the requirements of the elements and performance criteria and include:</w:t>
      </w:r>
    </w:p>
    <w:p w:rsidR="00000000" w:rsidRPr="00D1067A" w:rsidP="00D1067A">
      <w:pPr>
        <w:pStyle w:val="ListBullet"/>
      </w:pPr>
      <w:r w:rsidRPr="00D1067A">
        <w:t>identifying and defining problems</w:t>
      </w:r>
    </w:p>
    <w:p w:rsidR="00000000" w:rsidRPr="00D1067A" w:rsidP="00D1067A">
      <w:pPr>
        <w:pStyle w:val="ListBullet"/>
      </w:pPr>
      <w:r w:rsidRPr="00D1067A">
        <w:t>identifying appropriate statistical techniques for engineerin</w:t>
      </w:r>
      <w:r w:rsidRPr="00D1067A">
        <w:t>g or related problems</w:t>
      </w:r>
    </w:p>
    <w:p w:rsidR="00000000" w:rsidRPr="00D1067A" w:rsidP="00D1067A">
      <w:pPr>
        <w:pStyle w:val="ListBullet"/>
      </w:pPr>
      <w:r w:rsidRPr="00D1067A">
        <w:t>applying the appropriate technique and solving and confirming answer using the technique on at least two occasions</w:t>
      </w:r>
    </w:p>
    <w:p w:rsidR="00000000" w:rsidRPr="00D1067A" w:rsidP="00D1067A">
      <w:pPr>
        <w:pStyle w:val="ListBullet"/>
      </w:pPr>
      <w:r w:rsidRPr="00D1067A">
        <w:t>communicating the outcome of the analysis in a manner suited to the stakeholder/s and confirming the outcome has addres</w:t>
      </w:r>
      <w:r w:rsidRPr="00D1067A">
        <w:t>sed the problem.</w:t>
      </w:r>
    </w:p>
    <w:p w:rsidR="00000000" w:rsidRPr="00D1067A" w:rsidP="00D1067A">
      <w:pPr>
        <w:pStyle w:val="BodyText"/>
      </w:pPr>
    </w:p>
    <w:p w:rsidR="00000000" w:rsidRPr="00890783" w:rsidP="00890783">
      <w:pPr>
        <w:pStyle w:val="BodyText"/>
        <w:rPr>
          <w:i/>
        </w:rPr>
      </w:pPr>
      <w:r w:rsidRPr="00890783">
        <w:rPr>
          <w:rStyle w:val="Emphasis"/>
        </w:rPr>
        <w:t>Note: Where a volume and/or frequency is not specified, demonstration must be provided at least once.</w:t>
      </w:r>
    </w:p>
    <w:p w:rsidR="00000000" w:rsidRPr="00D1067A" w:rsidP="00D1067A">
      <w:pPr>
        <w:pStyle w:val="Heading1"/>
      </w:pPr>
      <w:bookmarkStart w:id="3" w:name="O_945138"/>
      <w:bookmarkEnd w:id="3"/>
      <w:r w:rsidRPr="00D1067A">
        <w:t>Knowledge Evidence</w:t>
      </w:r>
    </w:p>
    <w:p w:rsidR="00000000" w:rsidRPr="00D1067A" w:rsidP="00890783">
      <w:pPr>
        <w:pStyle w:val="BodyText"/>
      </w:pPr>
      <w:r w:rsidRPr="00D1067A">
        <w:t>Evidence required to demonstrate the required knowledge for this unit must be relevant to and satisf</w:t>
      </w:r>
      <w:r w:rsidRPr="00D1067A">
        <w:t>y the requirements of the elements and performance criteria and include knowledge of:</w:t>
      </w:r>
    </w:p>
    <w:p w:rsidR="00000000" w:rsidRPr="00D1067A" w:rsidP="00D1067A">
      <w:pPr>
        <w:pStyle w:val="ListBullet"/>
      </w:pPr>
      <w:r w:rsidRPr="00D1067A">
        <w:t>discrete and continuous data</w:t>
      </w:r>
    </w:p>
    <w:p w:rsidR="00000000" w:rsidRPr="00D1067A" w:rsidP="00D1067A">
      <w:pPr>
        <w:pStyle w:val="ListBullet"/>
      </w:pPr>
      <w:r w:rsidRPr="00D1067A">
        <w:t>presentation data including:</w:t>
      </w:r>
    </w:p>
    <w:p w:rsidR="00000000" w:rsidRPr="00D1067A" w:rsidP="00D1067A">
      <w:pPr>
        <w:pStyle w:val="ListBullet2"/>
      </w:pPr>
      <w:r w:rsidRPr="00D1067A">
        <w:t>frequency distribution tables</w:t>
      </w:r>
    </w:p>
    <w:p w:rsidR="00000000" w:rsidRPr="00D1067A" w:rsidP="00D1067A">
      <w:pPr>
        <w:pStyle w:val="ListBullet2"/>
      </w:pPr>
      <w:r w:rsidRPr="00D1067A">
        <w:t>histograms</w:t>
      </w:r>
    </w:p>
    <w:p w:rsidR="00000000" w:rsidRPr="00D1067A" w:rsidP="00D1067A">
      <w:pPr>
        <w:pStyle w:val="ListBullet2"/>
      </w:pPr>
      <w:r w:rsidRPr="00D1067A">
        <w:t>ogives</w:t>
      </w:r>
    </w:p>
    <w:p w:rsidR="00000000" w:rsidRPr="00D1067A" w:rsidP="00D1067A">
      <w:pPr>
        <w:pStyle w:val="ListBullet"/>
      </w:pPr>
      <w:r w:rsidRPr="00D1067A">
        <w:t>measures of central tendency including:</w:t>
      </w:r>
    </w:p>
    <w:p w:rsidR="00000000" w:rsidRPr="00D1067A" w:rsidP="00D1067A">
      <w:pPr>
        <w:pStyle w:val="ListBullet2"/>
      </w:pPr>
      <w:r w:rsidRPr="00D1067A">
        <w:t>arithmetic mean</w:t>
      </w:r>
    </w:p>
    <w:p w:rsidR="00000000" w:rsidRPr="00D1067A" w:rsidP="00D1067A">
      <w:pPr>
        <w:pStyle w:val="ListBullet2"/>
      </w:pPr>
      <w:r w:rsidRPr="00D1067A">
        <w:t>median</w:t>
      </w:r>
    </w:p>
    <w:p w:rsidR="00000000" w:rsidRPr="00D1067A" w:rsidP="00D1067A">
      <w:pPr>
        <w:pStyle w:val="ListBullet2"/>
      </w:pPr>
      <w:r w:rsidRPr="00D1067A">
        <w:t>mode</w:t>
      </w:r>
    </w:p>
    <w:p w:rsidR="00000000" w:rsidRPr="00D1067A" w:rsidP="00D1067A">
      <w:pPr>
        <w:pStyle w:val="ListBullet"/>
      </w:pPr>
      <w:r w:rsidRPr="00D1067A">
        <w:t>measures of dispersion including:</w:t>
      </w:r>
    </w:p>
    <w:p w:rsidR="00000000" w:rsidRPr="00D1067A" w:rsidP="00D1067A">
      <w:pPr>
        <w:pStyle w:val="ListBullet2"/>
      </w:pPr>
      <w:r w:rsidRPr="00D1067A">
        <w:t>standard deviation</w:t>
      </w:r>
    </w:p>
    <w:p w:rsidR="00000000" w:rsidRPr="00D1067A" w:rsidP="00D1067A">
      <w:pPr>
        <w:pStyle w:val="ListBullet2"/>
      </w:pPr>
      <w:r w:rsidRPr="00D1067A">
        <w:t>range</w:t>
      </w:r>
    </w:p>
    <w:p w:rsidR="00000000" w:rsidRPr="00D1067A" w:rsidP="00D1067A">
      <w:pPr>
        <w:pStyle w:val="ListBullet"/>
      </w:pPr>
      <w:r w:rsidRPr="00D1067A">
        <w:t>interquartile range</w:t>
      </w:r>
    </w:p>
    <w:p w:rsidR="00000000" w:rsidRPr="00D1067A" w:rsidP="00D1067A">
      <w:pPr>
        <w:pStyle w:val="ListBullet"/>
      </w:pPr>
      <w:r w:rsidRPr="00D1067A">
        <w:t>probability including:</w:t>
      </w:r>
    </w:p>
    <w:p w:rsidR="00000000" w:rsidRPr="00D1067A" w:rsidP="00D1067A">
      <w:pPr>
        <w:pStyle w:val="ListBullet2"/>
      </w:pPr>
      <w:r w:rsidRPr="00D1067A">
        <w:t>probability laws</w:t>
      </w:r>
    </w:p>
    <w:p w:rsidR="00000000" w:rsidRPr="00D1067A" w:rsidP="00D1067A">
      <w:pPr>
        <w:pStyle w:val="ListBullet2"/>
      </w:pPr>
      <w:r w:rsidRPr="00D1067A">
        <w:t>probability distributions, both binomial, and normal</w:t>
      </w:r>
    </w:p>
    <w:p w:rsidR="00000000" w:rsidRPr="00D1067A" w:rsidP="00D1067A">
      <w:pPr>
        <w:pStyle w:val="ListBullet2"/>
      </w:pPr>
      <w:r w:rsidRPr="00D1067A">
        <w:t>random walk and Monte Carlo methods</w:t>
      </w:r>
    </w:p>
    <w:p w:rsidR="00000000" w:rsidRPr="00D1067A" w:rsidP="00D1067A">
      <w:pPr>
        <w:pStyle w:val="ListBullet"/>
      </w:pPr>
      <w:r w:rsidRPr="00D1067A">
        <w:t>statistical inference including</w:t>
      </w:r>
      <w:r w:rsidRPr="00D1067A">
        <w:t>:</w:t>
      </w:r>
    </w:p>
    <w:p w:rsidR="00000000" w:rsidRPr="00D1067A" w:rsidP="00D1067A">
      <w:pPr>
        <w:pStyle w:val="ListBullet2"/>
      </w:pPr>
      <w:r w:rsidRPr="00D1067A">
        <w:t>large and small samples</w:t>
      </w:r>
    </w:p>
    <w:p w:rsidR="00000000" w:rsidRPr="00D1067A" w:rsidP="00D1067A">
      <w:pPr>
        <w:pStyle w:val="ListBullet2"/>
      </w:pPr>
      <w:r w:rsidRPr="00D1067A">
        <w:t>sample size</w:t>
      </w:r>
    </w:p>
    <w:p w:rsidR="00000000" w:rsidRPr="00D1067A" w:rsidP="00D1067A">
      <w:pPr>
        <w:pStyle w:val="ListBullet2"/>
      </w:pPr>
      <w:r w:rsidRPr="00D1067A">
        <w:t>statistical significance</w:t>
      </w:r>
    </w:p>
    <w:p w:rsidR="00000000" w:rsidRPr="00D1067A" w:rsidP="00D1067A">
      <w:pPr>
        <w:pStyle w:val="ListBullet2"/>
      </w:pPr>
      <w:r w:rsidRPr="00D1067A">
        <w:t>short cut methods including rank-sum, run tests and Kolmogorov-Smirnov</w:t>
      </w:r>
    </w:p>
    <w:p w:rsidR="00000000" w:rsidRPr="00D1067A" w:rsidP="00D1067A">
      <w:pPr>
        <w:pStyle w:val="ListBullet"/>
      </w:pPr>
      <w:r w:rsidRPr="00D1067A">
        <w:t>linear regression and correlation</w:t>
      </w:r>
    </w:p>
    <w:p w:rsidR="00000000" w:rsidRPr="00D1067A" w:rsidP="00D1067A">
      <w:pPr>
        <w:pStyle w:val="ListBullet"/>
      </w:pPr>
      <w:r w:rsidRPr="00D1067A">
        <w:t>analysis of variance including:</w:t>
      </w:r>
    </w:p>
    <w:p w:rsidR="00000000" w:rsidRPr="00D1067A" w:rsidP="00D1067A">
      <w:pPr>
        <w:pStyle w:val="ListBullet2"/>
      </w:pPr>
      <w:r w:rsidRPr="00D1067A">
        <w:t>one-way, two-way and multiple</w:t>
      </w:r>
    </w:p>
    <w:p w:rsidR="00000000" w:rsidRPr="00D1067A" w:rsidP="00D1067A">
      <w:pPr>
        <w:pStyle w:val="ListBullet2"/>
      </w:pPr>
      <w:r w:rsidRPr="00D1067A">
        <w:t>factorial experiments</w:t>
      </w:r>
    </w:p>
    <w:p w:rsidR="00000000" w:rsidRPr="00D1067A" w:rsidP="00D1067A">
      <w:pPr>
        <w:pStyle w:val="ListBullet2"/>
      </w:pPr>
      <w:r w:rsidRPr="00D1067A">
        <w:t>failure time distributions</w:t>
      </w:r>
    </w:p>
    <w:p w:rsidR="00890783" w:rsidP="00D1067A">
      <w:pPr>
        <w:pStyle w:val="ListBullet2"/>
      </w:pPr>
      <w:r w:rsidRPr="00D1067A">
        <w:t>reliability and life testing.</w:t>
      </w:r>
    </w:p>
    <w:p w:rsidR="00890783" w:rsidP="00D1067A">
      <w:pPr>
        <w:pStyle w:val="ListBullet2"/>
      </w:pPr>
    </w:p>
    <w:p w:rsidR="00000000" w:rsidRPr="00D1067A" w:rsidP="00D1067A">
      <w:pPr>
        <w:pStyle w:val="Heading1"/>
      </w:pPr>
      <w:bookmarkStart w:id="4" w:name="O_945137"/>
      <w:bookmarkEnd w:id="4"/>
      <w:r w:rsidRPr="00D1067A">
        <w:t>Assessment Conditions</w:t>
      </w:r>
    </w:p>
    <w:p w:rsidR="00000000" w:rsidRPr="00D1067A" w:rsidP="00D1067A">
      <w:pPr>
        <w:pStyle w:val="ListBullet"/>
      </w:pPr>
      <w:r w:rsidRPr="00D1067A">
        <w:t>Assessors must:</w:t>
      </w:r>
    </w:p>
    <w:p w:rsidR="00000000" w:rsidRPr="00D1067A" w:rsidP="00D1067A">
      <w:pPr>
        <w:pStyle w:val="ListBullet2"/>
      </w:pPr>
      <w:r w:rsidRPr="00D1067A">
        <w:t xml:space="preserve">have vocational competency in applying statistics to technology problems at least to the level being </w:t>
      </w:r>
      <w:r w:rsidRPr="00D1067A">
        <w:t>assessed with relevant industry knowledge and experience</w:t>
      </w:r>
    </w:p>
    <w:p w:rsidR="00000000" w:rsidRPr="00D1067A" w:rsidP="00D1067A">
      <w:pPr>
        <w:pStyle w:val="ListBullet2"/>
      </w:pPr>
      <w:r w:rsidRPr="00D1067A">
        <w:t>satisfy the assessor requirements in the Standards for Registered Training Organisations 2015 or its replacement and comply with the National Vocational Education and Training Regulator Act 2011, its</w:t>
      </w:r>
      <w:r w:rsidRPr="00D1067A">
        <w:t xml:space="preserve"> replacement or equivalent legislation covering VET regulation in a non-referring state/territory as the case requires.</w:t>
      </w:r>
    </w:p>
    <w:p w:rsidR="00000000" w:rsidRPr="00D1067A" w:rsidP="00D1067A">
      <w:pPr>
        <w:pStyle w:val="ListBullet"/>
      </w:pPr>
      <w:r w:rsidRPr="00D1067A">
        <w:t>Where possible assessment must occur in operational workplace situations. Where this is not possible or where personal safety or enviro</w:t>
      </w:r>
      <w:r w:rsidRPr="00D1067A">
        <w:t>nmental damage are limiting factors, assessment must occur in a sufficiently rigorous simulated environment that reflects realistic operational workplace conditions that cover all aspects of workplace performance, including environment, task skills, task m</w:t>
      </w:r>
      <w:r w:rsidRPr="00D1067A">
        <w:t>anagement skills, contingency management skills and job role environment skills.</w:t>
      </w:r>
    </w:p>
    <w:p w:rsidR="00000000" w:rsidRPr="00D1067A" w:rsidP="00D1067A">
      <w:pPr>
        <w:pStyle w:val="ListBullet"/>
      </w:pPr>
      <w:r w:rsidRPr="00D1067A">
        <w:t xml:space="preserve">Conditions for assessment must include access to all tools, equipment, materials and documentation required including relevant workplace procedures, product and manufacturing </w:t>
      </w:r>
      <w:r w:rsidRPr="00D1067A">
        <w:t>specifications.</w:t>
      </w:r>
    </w:p>
    <w:p w:rsidR="00890783" w:rsidP="00D1067A">
      <w:pPr>
        <w:pStyle w:val="ListBullet"/>
      </w:pPr>
      <w:r w:rsidRPr="00D1067A">
        <w:t>Assessment processes and techniques must be appropriate to the language, literacy and numeracy requirements of the work being performed and the needs of the candidate.</w:t>
      </w:r>
    </w:p>
    <w:p w:rsidR="00890783" w:rsidP="00D1067A">
      <w:pPr>
        <w:pStyle w:val="ListBullet"/>
      </w:pPr>
    </w:p>
    <w:p w:rsidR="00000000" w:rsidRPr="00D1067A" w:rsidP="00D1067A">
      <w:pPr>
        <w:pStyle w:val="Heading1"/>
      </w:pPr>
      <w:bookmarkStart w:id="5" w:name="O_945135"/>
      <w:bookmarkEnd w:id="5"/>
      <w:r w:rsidRPr="00D1067A">
        <w:t>Links</w:t>
      </w:r>
    </w:p>
    <w:p w:rsidR="00000000" w:rsidRPr="00D1067A" w:rsidP="00890783">
      <w:pPr>
        <w:pStyle w:val="BodyText"/>
      </w:pPr>
      <w:r w:rsidRPr="00D1067A">
        <w:t>Companion Volume Implementation Guides are avail</w:t>
      </w:r>
      <w:r w:rsidRPr="00D1067A">
        <w:t xml:space="preserve">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7A4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1067A" w:rsidP="00D1067A"/>
    <w:sectPr w:rsidSect="00D106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7A" w:rsidRPr="00890783" w:rsidP="00890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783" w:rsidP="00D10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0783" w:rsidP="00D10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0783" w:rsidP="00D10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67A" w:rsidRPr="00890783" w:rsidP="00890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783" w:rsidRPr="002D2AF8" w:rsidP="00D10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MEM234021 Apply statistics to technology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90783" w:rsidP="00D10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A00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9CB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DA3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67A"/>
  </w:style>
  <w:style w:type="character" w:customStyle="1" w:styleId="Heading1Char">
    <w:name w:val="Heading 1 Char"/>
    <w:basedOn w:val="DefaultParagraphFont"/>
    <w:link w:val="Heading1"/>
    <w:rsid w:val="00D10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6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6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06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067A"/>
    <w:rPr>
      <w:i/>
    </w:rPr>
  </w:style>
  <w:style w:type="paragraph" w:customStyle="1" w:styleId="SuperHeading">
    <w:name w:val="SuperHeading"/>
    <w:basedOn w:val="Normal"/>
    <w:rsid w:val="00D10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6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6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67A"/>
    <w:rPr>
      <w:b/>
      <w:spacing w:val="0"/>
    </w:rPr>
  </w:style>
  <w:style w:type="paragraph" w:customStyle="1" w:styleId="SuperTitle">
    <w:name w:val="SuperTitle"/>
    <w:basedOn w:val="Title"/>
    <w:rsid w:val="00D10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6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67A"/>
  </w:style>
  <w:style w:type="paragraph" w:styleId="TableofFigures">
    <w:name w:val="table of figures"/>
    <w:basedOn w:val="Normal"/>
    <w:next w:val="Normal"/>
    <w:semiHidden/>
    <w:rsid w:val="00D10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6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067A"/>
    <w:rPr>
      <w:rFonts w:ascii="Wingdings" w:hAnsi="Wingdings"/>
    </w:rPr>
  </w:style>
  <w:style w:type="paragraph" w:customStyle="1" w:styleId="TableHeading">
    <w:name w:val="Table Heading"/>
    <w:basedOn w:val="HeadingBase"/>
    <w:rsid w:val="00D10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67A"/>
    <w:rPr>
      <w:color w:val="0033CC"/>
      <w:u w:val="none"/>
    </w:rPr>
  </w:style>
  <w:style w:type="paragraph" w:customStyle="1" w:styleId="BodyTextRight">
    <w:name w:val="Body Text Right"/>
    <w:basedOn w:val="BodyText"/>
    <w:rsid w:val="00D10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6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67A"/>
    <w:rPr>
      <w:sz w:val="32"/>
    </w:rPr>
  </w:style>
  <w:style w:type="paragraph" w:customStyle="1" w:styleId="HeadingProcedure">
    <w:name w:val="Heading Procedure"/>
    <w:basedOn w:val="HeadingBase"/>
    <w:next w:val="Normal"/>
    <w:rsid w:val="00D10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67A"/>
    <w:pPr>
      <w:spacing w:before="60" w:after="60"/>
    </w:pPr>
  </w:style>
  <w:style w:type="paragraph" w:styleId="ListContinue">
    <w:name w:val="List Continue"/>
    <w:basedOn w:val="List"/>
    <w:rsid w:val="00D1067A"/>
    <w:pPr>
      <w:ind w:firstLine="0"/>
    </w:pPr>
  </w:style>
  <w:style w:type="paragraph" w:customStyle="1" w:styleId="ListNote">
    <w:name w:val="List Note"/>
    <w:basedOn w:val="List"/>
    <w:rsid w:val="00D10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67A"/>
    <w:rPr>
      <w:rFonts w:ascii="Courier New" w:hAnsi="Courier New"/>
    </w:rPr>
  </w:style>
  <w:style w:type="paragraph" w:customStyle="1" w:styleId="NoteBullet">
    <w:name w:val="Note Bullet"/>
    <w:basedOn w:val="Note"/>
    <w:rsid w:val="00D10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6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0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67A"/>
    <w:rPr>
      <w:b/>
      <w:smallCaps/>
    </w:rPr>
  </w:style>
  <w:style w:type="paragraph" w:customStyle="1" w:styleId="TableListNumber">
    <w:name w:val="Table List Number"/>
    <w:basedOn w:val="ListNumber"/>
    <w:rsid w:val="00D10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67A"/>
    <w:pPr>
      <w:numPr>
        <w:numId w:val="9"/>
      </w:numPr>
    </w:pPr>
  </w:style>
  <w:style w:type="paragraph" w:customStyle="1" w:styleId="ListAlpha2">
    <w:name w:val="List Alpha 2"/>
    <w:basedOn w:val="List2"/>
    <w:rsid w:val="00D1067A"/>
    <w:pPr>
      <w:numPr>
        <w:numId w:val="8"/>
      </w:numPr>
    </w:pPr>
  </w:style>
  <w:style w:type="paragraph" w:styleId="List2">
    <w:name w:val="List 2"/>
    <w:basedOn w:val="BodyText"/>
    <w:rsid w:val="00D10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6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6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067A"/>
    <w:pPr>
      <w:numPr>
        <w:numId w:val="4"/>
      </w:numPr>
    </w:pPr>
  </w:style>
  <w:style w:type="paragraph" w:styleId="ListContinue2">
    <w:name w:val="List Continue 2"/>
    <w:basedOn w:val="List2"/>
    <w:rsid w:val="00D1067A"/>
    <w:pPr>
      <w:ind w:firstLine="0"/>
    </w:pPr>
  </w:style>
  <w:style w:type="paragraph" w:styleId="ListContinue3">
    <w:name w:val="List Continue 3"/>
    <w:basedOn w:val="List3"/>
    <w:rsid w:val="00D1067A"/>
    <w:pPr>
      <w:ind w:left="1021" w:firstLine="0"/>
    </w:pPr>
  </w:style>
  <w:style w:type="paragraph" w:styleId="ListContinue4">
    <w:name w:val="List Continue 4"/>
    <w:basedOn w:val="List4"/>
    <w:rsid w:val="00D1067A"/>
    <w:pPr>
      <w:ind w:firstLine="0"/>
    </w:pPr>
  </w:style>
  <w:style w:type="paragraph" w:styleId="ListContinue5">
    <w:name w:val="List Continue 5"/>
    <w:basedOn w:val="List5"/>
    <w:rsid w:val="00D1067A"/>
    <w:pPr>
      <w:ind w:firstLine="0"/>
    </w:pPr>
  </w:style>
  <w:style w:type="paragraph" w:styleId="ListNumber3">
    <w:name w:val="List Number 3"/>
    <w:basedOn w:val="List3"/>
    <w:rsid w:val="00D1067A"/>
    <w:pPr>
      <w:numPr>
        <w:numId w:val="5"/>
      </w:numPr>
    </w:pPr>
  </w:style>
  <w:style w:type="paragraph" w:styleId="ListNumber4">
    <w:name w:val="List Number 4"/>
    <w:basedOn w:val="List4"/>
    <w:rsid w:val="00D1067A"/>
    <w:pPr>
      <w:numPr>
        <w:numId w:val="6"/>
      </w:numPr>
    </w:pPr>
  </w:style>
  <w:style w:type="paragraph" w:styleId="ListNumber5">
    <w:name w:val="List Number 5"/>
    <w:basedOn w:val="List5"/>
    <w:rsid w:val="00D1067A"/>
    <w:pPr>
      <w:numPr>
        <w:numId w:val="7"/>
      </w:numPr>
    </w:pPr>
  </w:style>
  <w:style w:type="paragraph" w:styleId="BlockText">
    <w:name w:val="Block Text"/>
    <w:basedOn w:val="Normal"/>
    <w:rsid w:val="00D10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67A"/>
    <w:rPr>
      <w:sz w:val="16"/>
      <w:vertAlign w:val="superscript"/>
    </w:rPr>
  </w:style>
  <w:style w:type="character" w:customStyle="1" w:styleId="Symbols">
    <w:name w:val="Symbols"/>
    <w:basedOn w:val="DefaultParagraphFont"/>
    <w:rsid w:val="00D1067A"/>
    <w:rPr>
      <w:rFonts w:ascii="Symbol" w:hAnsi="Symbol"/>
    </w:rPr>
  </w:style>
  <w:style w:type="character" w:customStyle="1" w:styleId="MenuOptions">
    <w:name w:val="Menu Options"/>
    <w:basedOn w:val="DefaultParagraphFont"/>
    <w:rsid w:val="00D10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67A"/>
    <w:rPr>
      <w:b/>
    </w:rPr>
  </w:style>
  <w:style w:type="character" w:customStyle="1" w:styleId="Underlined">
    <w:name w:val="Underlined"/>
    <w:basedOn w:val="DefaultParagraphFont"/>
    <w:rsid w:val="00D1067A"/>
    <w:rPr>
      <w:u w:val="single"/>
    </w:rPr>
  </w:style>
  <w:style w:type="paragraph" w:customStyle="1" w:styleId="TableBodyTextRight">
    <w:name w:val="Table Body Text Right"/>
    <w:basedOn w:val="TableBodyText"/>
    <w:rsid w:val="00D10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67A"/>
    <w:rPr>
      <w:sz w:val="18"/>
    </w:rPr>
  </w:style>
  <w:style w:type="paragraph" w:customStyle="1" w:styleId="BodySmallRight">
    <w:name w:val="Body Small Right"/>
    <w:basedOn w:val="BodyTextRight"/>
    <w:rsid w:val="00D1067A"/>
    <w:rPr>
      <w:sz w:val="18"/>
      <w:szCs w:val="18"/>
    </w:rPr>
  </w:style>
  <w:style w:type="paragraph" w:customStyle="1" w:styleId="MarginEdition">
    <w:name w:val="Margin Edition"/>
    <w:basedOn w:val="MarginNote"/>
    <w:rsid w:val="00D10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67A"/>
    <w:rPr>
      <w:sz w:val="2"/>
      <w:szCs w:val="2"/>
    </w:rPr>
  </w:style>
  <w:style w:type="character" w:customStyle="1" w:styleId="Small">
    <w:name w:val="Small"/>
    <w:basedOn w:val="DefaultParagraphFont"/>
    <w:rsid w:val="00D1067A"/>
    <w:rPr>
      <w:sz w:val="16"/>
    </w:rPr>
  </w:style>
  <w:style w:type="paragraph" w:customStyle="1" w:styleId="WideTable">
    <w:name w:val="Wide Table"/>
    <w:basedOn w:val="Normal"/>
    <w:rsid w:val="00D10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67A"/>
  </w:style>
  <w:style w:type="paragraph" w:styleId="Quote">
    <w:name w:val="Quote"/>
    <w:basedOn w:val="Heading1"/>
    <w:link w:val="QuoteChar"/>
    <w:qFormat/>
    <w:rsid w:val="00D10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67A"/>
    <w:pPr>
      <w:pageBreakBefore/>
    </w:pPr>
  </w:style>
  <w:style w:type="paragraph" w:customStyle="1" w:styleId="Border">
    <w:name w:val="Border"/>
    <w:basedOn w:val="Normal"/>
    <w:qFormat/>
    <w:rsid w:val="00D10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67A"/>
    <w:rPr>
      <w:u w:val="single"/>
    </w:rPr>
  </w:style>
  <w:style w:type="character" w:customStyle="1" w:styleId="BoldandItalics">
    <w:name w:val="Bold and Italics"/>
    <w:qFormat/>
    <w:rsid w:val="00D1067A"/>
    <w:rPr>
      <w:b/>
      <w:i/>
      <w:u w:val="none"/>
    </w:rPr>
  </w:style>
  <w:style w:type="paragraph" w:styleId="BalloonText">
    <w:name w:val="Balloon Text"/>
    <w:basedOn w:val="Normal"/>
    <w:link w:val="BalloonTextChar"/>
    <w:rsid w:val="00D10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67A"/>
    <w:pPr>
      <w:spacing w:before="0" w:after="0"/>
    </w:pPr>
  </w:style>
  <w:style w:type="paragraph" w:customStyle="1" w:styleId="BodyTextBold">
    <w:name w:val="Body Text Bold"/>
    <w:basedOn w:val="BodyText"/>
    <w:qFormat/>
    <w:rsid w:val="00D1067A"/>
    <w:rPr>
      <w:b/>
    </w:rPr>
  </w:style>
  <w:style w:type="character" w:styleId="Hyperlink">
    <w:name w:val="Hyperlink"/>
    <w:basedOn w:val="DefaultParagraphFont"/>
    <w:uiPriority w:val="99"/>
    <w:unhideWhenUsed/>
    <w:rsid w:val="00890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3087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MEM234021 Apply statistics to technology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