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876" w:rsidP="008878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MEM234018 Design heating, ventilation, air conditioning and refrigeration control systems</w:t>
      </w:r>
      <w:r>
        <w:fldChar w:fldCharType="end"/>
      </w:r>
    </w:p>
    <w:p w:rsidR="00887876" w:rsidP="00887876">
      <w:pPr>
        <w:pStyle w:val="Version"/>
        <w:sectPr w:rsidSect="000421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219C" w:rsidP="0004219C">
      <w:pPr>
        <w:pStyle w:val="SuperHeading"/>
      </w:pPr>
      <w:r w:rsidRPr="0004219C">
        <w:t>Assessment Requirements for MEM234018 Design heating, ventilation, air conditioning and refrigeration control systems</w:t>
      </w:r>
    </w:p>
    <w:p w:rsidR="00000000" w:rsidRPr="0004219C" w:rsidP="0004219C">
      <w:pPr>
        <w:pStyle w:val="Heading1"/>
      </w:pPr>
      <w:bookmarkStart w:id="1" w:name="O_945079"/>
      <w:bookmarkEnd w:id="1"/>
      <w:r w:rsidRPr="0004219C">
        <w:t>Modification History</w:t>
      </w:r>
    </w:p>
    <w:p w:rsidR="00000000" w:rsidRPr="0004219C" w:rsidP="00887876">
      <w:pPr>
        <w:pStyle w:val="BodyText"/>
      </w:pPr>
      <w:r w:rsidRPr="0004219C">
        <w:t>Relea</w:t>
      </w:r>
      <w:r w:rsidRPr="0004219C">
        <w:t>se 1. Supersedes and is equivalent to MEM234018A Design heating, ventilation, air conditioning and refrigeration control systems.</w:t>
      </w:r>
    </w:p>
    <w:p w:rsidR="00000000" w:rsidRPr="0004219C" w:rsidP="0004219C">
      <w:pPr>
        <w:pStyle w:val="Heading1"/>
      </w:pPr>
      <w:bookmarkStart w:id="2" w:name="O_945082"/>
      <w:bookmarkEnd w:id="2"/>
      <w:r w:rsidRPr="0004219C">
        <w:t>Performance Evidence</w:t>
      </w:r>
    </w:p>
    <w:p w:rsidR="00000000" w:rsidRPr="0004219C" w:rsidP="00887876">
      <w:pPr>
        <w:pStyle w:val="BodyText"/>
      </w:pPr>
      <w:r w:rsidRPr="0004219C">
        <w:t>Evidence required to demonstrate competence in this unit must be relevant to and satisfy</w:t>
      </w:r>
      <w:r w:rsidRPr="0004219C">
        <w:t xml:space="preserve"> the requirements of the elements and performance criteria and include:</w:t>
      </w:r>
    </w:p>
    <w:p w:rsidR="00000000" w:rsidRPr="0004219C" w:rsidP="0004219C">
      <w:pPr>
        <w:pStyle w:val="ListBullet"/>
      </w:pPr>
      <w:r w:rsidRPr="0004219C">
        <w:t>establishing required features of heating, ventilation and refrigeration plant and equipment</w:t>
      </w:r>
    </w:p>
    <w:p w:rsidR="00000000" w:rsidRPr="0004219C" w:rsidP="0004219C">
      <w:pPr>
        <w:pStyle w:val="ListBullet"/>
      </w:pPr>
      <w:r w:rsidRPr="0004219C">
        <w:t>confirming parameters of the brief or contract and providing initial advice based on disci</w:t>
      </w:r>
      <w:r w:rsidRPr="0004219C">
        <w:t>pline knowledge, standards, work health and safety (WHS), regulatory and risk assessment requirements</w:t>
      </w:r>
    </w:p>
    <w:p w:rsidR="00000000" w:rsidRPr="0004219C" w:rsidP="0004219C">
      <w:pPr>
        <w:pStyle w:val="ListBullet"/>
      </w:pPr>
      <w:r w:rsidRPr="0004219C">
        <w:t>researching sustainability implications and current industrial design techniques</w:t>
      </w:r>
    </w:p>
    <w:p w:rsidR="00000000" w:rsidRPr="0004219C" w:rsidP="0004219C">
      <w:pPr>
        <w:pStyle w:val="ListBullet"/>
      </w:pPr>
      <w:r w:rsidRPr="0004219C">
        <w:t>investigating, measuring, modelling and calculating using appropriate sof</w:t>
      </w:r>
      <w:r w:rsidRPr="0004219C">
        <w:t>tware and validation techniques</w:t>
      </w:r>
    </w:p>
    <w:p w:rsidR="00000000" w:rsidRPr="0004219C" w:rsidP="0004219C">
      <w:pPr>
        <w:pStyle w:val="ListBullet"/>
      </w:pPr>
      <w:r w:rsidRPr="0004219C">
        <w:t>investigating faults in existing designs and proposing solutions</w:t>
      </w:r>
    </w:p>
    <w:p w:rsidR="00000000" w:rsidRPr="0004219C" w:rsidP="0004219C">
      <w:pPr>
        <w:pStyle w:val="ListBullet"/>
      </w:pPr>
      <w:r w:rsidRPr="0004219C">
        <w:t>innovating and creating solutions, incorporating systems thinking, continuous improvement and constraint and contingency management</w:t>
      </w:r>
    </w:p>
    <w:p w:rsidR="00000000" w:rsidRPr="0004219C" w:rsidP="0004219C">
      <w:pPr>
        <w:pStyle w:val="ListBullet"/>
      </w:pPr>
      <w:r w:rsidRPr="0004219C">
        <w:t>designing control systems a</w:t>
      </w:r>
      <w:r w:rsidRPr="0004219C">
        <w:t>nd energy management plans on at least two occasions, using current design criteria and programming building control systems software</w:t>
      </w:r>
    </w:p>
    <w:p w:rsidR="00000000" w:rsidRPr="0004219C" w:rsidP="0004219C">
      <w:pPr>
        <w:pStyle w:val="ListBullet"/>
      </w:pPr>
      <w:r w:rsidRPr="0004219C">
        <w:t>applying safe working practices and procedures</w:t>
      </w:r>
    </w:p>
    <w:p w:rsidR="00000000" w:rsidRPr="0004219C" w:rsidP="0004219C">
      <w:pPr>
        <w:pStyle w:val="ListBullet"/>
      </w:pPr>
      <w:r w:rsidRPr="0004219C">
        <w:t>communicating, negotiating and reviewing with stakeholders and client throu</w:t>
      </w:r>
      <w:r w:rsidRPr="0004219C">
        <w:t xml:space="preserve">ghout the process to obtain agreement on proposal and sign-off on design </w:t>
      </w:r>
    </w:p>
    <w:p w:rsidR="00000000" w:rsidRPr="0004219C" w:rsidP="0004219C">
      <w:pPr>
        <w:pStyle w:val="ListBullet"/>
      </w:pPr>
      <w:r w:rsidRPr="0004219C">
        <w:t>documenting design through the production of graphics, drawings, specifications and instructions.</w:t>
      </w:r>
    </w:p>
    <w:p w:rsidR="00000000" w:rsidRPr="0004219C" w:rsidP="0004219C">
      <w:pPr>
        <w:pStyle w:val="BodyText"/>
      </w:pPr>
    </w:p>
    <w:p w:rsidR="00000000" w:rsidRPr="00887876" w:rsidP="00887876">
      <w:pPr>
        <w:pStyle w:val="BodyText"/>
        <w:rPr>
          <w:i/>
        </w:rPr>
      </w:pPr>
      <w:r w:rsidRPr="00887876">
        <w:rPr>
          <w:rStyle w:val="Emphasis"/>
        </w:rPr>
        <w:t>Note: Where a volume and/or frequency is not specified, demonstration must be provi</w:t>
      </w:r>
      <w:r w:rsidRPr="00887876">
        <w:rPr>
          <w:rStyle w:val="Emphasis"/>
        </w:rPr>
        <w:t>ded at least once.</w:t>
      </w:r>
    </w:p>
    <w:p w:rsidR="00000000" w:rsidRPr="0004219C" w:rsidP="0004219C">
      <w:pPr>
        <w:pStyle w:val="Heading1"/>
      </w:pPr>
      <w:bookmarkStart w:id="3" w:name="O_945081"/>
      <w:bookmarkEnd w:id="3"/>
      <w:r w:rsidRPr="0004219C">
        <w:t>Knowledge Evidence</w:t>
      </w:r>
    </w:p>
    <w:p w:rsidR="00000000" w:rsidRPr="0004219C" w:rsidP="00887876">
      <w:pPr>
        <w:pStyle w:val="BodyText"/>
      </w:pPr>
      <w:r w:rsidRPr="0004219C">
        <w:t>Evidence required to demonstrate the required knowledge for this unit must be relevant to and satisfy the requirements of the elements and performance criteria and include knowledge of:</w:t>
      </w:r>
    </w:p>
    <w:p w:rsidR="00000000" w:rsidRPr="0004219C" w:rsidP="0004219C">
      <w:pPr>
        <w:pStyle w:val="ListBullet"/>
      </w:pPr>
      <w:r w:rsidRPr="0004219C">
        <w:t>contemporary e</w:t>
      </w:r>
      <w:r w:rsidRPr="0004219C">
        <w:t>ngineering design methods</w:t>
      </w:r>
    </w:p>
    <w:p w:rsidR="00000000" w:rsidRPr="0004219C" w:rsidP="0004219C">
      <w:pPr>
        <w:pStyle w:val="ListBullet"/>
      </w:pPr>
      <w:r w:rsidRPr="0004219C">
        <w:t>heating, ventilation, air conditioning and refrigeration (HVACR) control systems</w:t>
      </w:r>
    </w:p>
    <w:p w:rsidR="00000000" w:rsidRPr="0004219C" w:rsidP="0004219C">
      <w:pPr>
        <w:pStyle w:val="ListBullet"/>
      </w:pPr>
      <w:r w:rsidRPr="0004219C">
        <w:t>brief or contract parameters</w:t>
      </w:r>
    </w:p>
    <w:p w:rsidR="00000000" w:rsidRPr="0004219C" w:rsidP="0004219C">
      <w:pPr>
        <w:pStyle w:val="ListBullet"/>
      </w:pPr>
      <w:r w:rsidRPr="0004219C">
        <w:t>energy management principles</w:t>
      </w:r>
    </w:p>
    <w:p w:rsidR="00000000" w:rsidRPr="0004219C" w:rsidP="0004219C">
      <w:pPr>
        <w:pStyle w:val="ListBullet"/>
      </w:pPr>
      <w:r w:rsidRPr="0004219C">
        <w:t>relevant engineering design methods</w:t>
      </w:r>
    </w:p>
    <w:p w:rsidR="00000000" w:rsidRPr="0004219C" w:rsidP="0004219C">
      <w:pPr>
        <w:pStyle w:val="ListBullet"/>
      </w:pPr>
      <w:r w:rsidRPr="0004219C">
        <w:t>design, research, modelling and computational methodologies applied to HVACR control systems</w:t>
      </w:r>
    </w:p>
    <w:p w:rsidR="00000000" w:rsidRPr="0004219C" w:rsidP="0004219C">
      <w:pPr>
        <w:pStyle w:val="ListBullet"/>
      </w:pPr>
      <w:r w:rsidRPr="0004219C">
        <w:t>design methods, research and investigations methods</w:t>
      </w:r>
    </w:p>
    <w:p w:rsidR="00000000" w:rsidRPr="0004219C" w:rsidP="0004219C">
      <w:pPr>
        <w:pStyle w:val="ListBullet"/>
      </w:pPr>
      <w:r w:rsidRPr="0004219C">
        <w:t>techniques for:</w:t>
      </w:r>
    </w:p>
    <w:p w:rsidR="00000000" w:rsidRPr="0004219C" w:rsidP="0004219C">
      <w:pPr>
        <w:pStyle w:val="ListBullet2"/>
      </w:pPr>
      <w:r w:rsidRPr="0004219C">
        <w:t>continuous improvement</w:t>
      </w:r>
    </w:p>
    <w:p w:rsidR="00000000" w:rsidRPr="0004219C" w:rsidP="0004219C">
      <w:pPr>
        <w:pStyle w:val="ListBullet2"/>
      </w:pPr>
      <w:r w:rsidRPr="0004219C">
        <w:t>problem solving and decision making</w:t>
      </w:r>
    </w:p>
    <w:p w:rsidR="00000000" w:rsidRPr="0004219C" w:rsidP="0004219C">
      <w:pPr>
        <w:pStyle w:val="ListBullet2"/>
      </w:pPr>
      <w:r w:rsidRPr="0004219C">
        <w:t>root cause analysis (RCA) or failur</w:t>
      </w:r>
      <w:r w:rsidRPr="0004219C">
        <w:t>e mode and effects analysis (FMEA) or design review based on failure mode (DRBFM), and Pareto analysis</w:t>
      </w:r>
    </w:p>
    <w:p w:rsidR="00000000" w:rsidRPr="0004219C" w:rsidP="0004219C">
      <w:pPr>
        <w:pStyle w:val="ListBullet"/>
      </w:pPr>
      <w:r w:rsidRPr="0004219C">
        <w:t>WHS and regulatory requirements, codes of practice, standards, risk minimisation and registration requirements</w:t>
      </w:r>
    </w:p>
    <w:p w:rsidR="00000000" w:rsidRPr="0004219C" w:rsidP="0004219C">
      <w:pPr>
        <w:pStyle w:val="ListBullet"/>
      </w:pPr>
      <w:r w:rsidRPr="0004219C">
        <w:t>control system principles applied to HVAC</w:t>
      </w:r>
      <w:r w:rsidRPr="0004219C">
        <w:t>R systems</w:t>
      </w:r>
    </w:p>
    <w:p w:rsidR="00000000" w:rsidRPr="0004219C" w:rsidP="0004219C">
      <w:pPr>
        <w:pStyle w:val="ListBullet"/>
      </w:pPr>
      <w:r w:rsidRPr="0004219C">
        <w:t>types of control equipment</w:t>
      </w:r>
    </w:p>
    <w:p w:rsidR="00000000" w:rsidRPr="0004219C" w:rsidP="0004219C">
      <w:pPr>
        <w:pStyle w:val="ListBullet"/>
      </w:pPr>
      <w:r w:rsidRPr="0004219C">
        <w:t>system specifications</w:t>
      </w:r>
    </w:p>
    <w:p w:rsidR="00000000" w:rsidRPr="0004219C" w:rsidP="0004219C">
      <w:pPr>
        <w:pStyle w:val="ListBullet"/>
      </w:pPr>
      <w:r w:rsidRPr="0004219C">
        <w:t xml:space="preserve">system hardware requirements including industrial and commercial refrigeration systems, hydronic systems and automated controls </w:t>
      </w:r>
    </w:p>
    <w:p w:rsidR="00000000" w:rsidRPr="0004219C" w:rsidP="0004219C">
      <w:pPr>
        <w:pStyle w:val="ListBullet"/>
      </w:pPr>
      <w:r w:rsidRPr="0004219C">
        <w:t>HVACR load cycles</w:t>
      </w:r>
    </w:p>
    <w:p w:rsidR="00000000" w:rsidRPr="0004219C" w:rsidP="0004219C">
      <w:pPr>
        <w:pStyle w:val="ListBullet"/>
      </w:pPr>
      <w:r w:rsidRPr="0004219C">
        <w:t>principles of building management systems (BMS) and building management control system software</w:t>
      </w:r>
    </w:p>
    <w:p w:rsidR="00000000" w:rsidRPr="0004219C" w:rsidP="0004219C">
      <w:pPr>
        <w:pStyle w:val="ListBullet"/>
      </w:pPr>
      <w:r w:rsidRPr="0004219C">
        <w:t>energy options including unit tariffs, system and component consumption, benchmarks for energy costs and comparative tariffs of supply authorities</w:t>
      </w:r>
    </w:p>
    <w:p w:rsidR="00000000" w:rsidRPr="0004219C" w:rsidP="0004219C">
      <w:pPr>
        <w:pStyle w:val="ListBullet"/>
      </w:pPr>
      <w:r w:rsidRPr="0004219C">
        <w:t>interface pri</w:t>
      </w:r>
      <w:r w:rsidRPr="0004219C">
        <w:t>nciples for system components</w:t>
      </w:r>
    </w:p>
    <w:p w:rsidR="00000000" w:rsidRPr="0004219C" w:rsidP="0004219C">
      <w:pPr>
        <w:pStyle w:val="ListBullet"/>
      </w:pPr>
      <w:r w:rsidRPr="0004219C">
        <w:t>major system hardware component control and energy requirements</w:t>
      </w:r>
    </w:p>
    <w:p w:rsidR="00000000" w:rsidRPr="0004219C" w:rsidP="0004219C">
      <w:pPr>
        <w:pStyle w:val="ListBullet"/>
      </w:pPr>
      <w:r w:rsidRPr="0004219C">
        <w:t>interface principles and techniques for electrical, electronic, pneumatic and hydraulic sensors and actuators.</w:t>
      </w:r>
    </w:p>
    <w:p w:rsidR="00000000" w:rsidRPr="0004219C" w:rsidP="0004219C">
      <w:pPr>
        <w:pStyle w:val="AllowPageBreak"/>
      </w:pPr>
    </w:p>
    <w:p w:rsidR="00000000" w:rsidRPr="0004219C" w:rsidP="0004219C">
      <w:pPr>
        <w:pStyle w:val="Heading1"/>
      </w:pPr>
      <w:bookmarkStart w:id="4" w:name="O_945080"/>
      <w:bookmarkEnd w:id="4"/>
      <w:r w:rsidRPr="0004219C">
        <w:t>Assessment Conditions</w:t>
      </w:r>
    </w:p>
    <w:p w:rsidR="00000000" w:rsidRPr="0004219C" w:rsidP="0004219C">
      <w:pPr>
        <w:pStyle w:val="ListBullet"/>
      </w:pPr>
      <w:r w:rsidRPr="0004219C">
        <w:t>Assessors m</w:t>
      </w:r>
      <w:r w:rsidRPr="0004219C">
        <w:t>ust:</w:t>
      </w:r>
    </w:p>
    <w:p w:rsidR="00000000" w:rsidRPr="0004219C" w:rsidP="0004219C">
      <w:pPr>
        <w:pStyle w:val="ListBullet2"/>
      </w:pPr>
      <w:r w:rsidRPr="0004219C">
        <w:t>have vocational competency in designing heating, ventilation, air conditioning and refrigeration control systems at least to the level being assessed with relevant industry knowledge and experience</w:t>
      </w:r>
    </w:p>
    <w:p w:rsidR="00000000" w:rsidRPr="0004219C" w:rsidP="0004219C">
      <w:pPr>
        <w:pStyle w:val="ListBullet2"/>
      </w:pPr>
      <w:r w:rsidRPr="0004219C">
        <w:t xml:space="preserve">satisfy the assessor requirements in the </w:t>
      </w:r>
      <w:r w:rsidRPr="0004219C">
        <w:rPr>
          <w:rStyle w:val="Emphasis"/>
        </w:rPr>
        <w:t>Standards f</w:t>
      </w:r>
      <w:r w:rsidRPr="0004219C">
        <w:rPr>
          <w:rStyle w:val="Emphasis"/>
        </w:rPr>
        <w:t xml:space="preserve">or Registered Training Organisations 2015 or its replacement </w:t>
      </w:r>
      <w:r w:rsidRPr="0004219C">
        <w:t xml:space="preserve">and comply with the </w:t>
      </w:r>
      <w:r w:rsidRPr="0004219C">
        <w:rPr>
          <w:rStyle w:val="Emphasis"/>
        </w:rPr>
        <w:t xml:space="preserve">National Vocational Education and Training Regulator Act 2011, </w:t>
      </w:r>
      <w:r w:rsidRPr="0004219C">
        <w:t>its replacement</w:t>
      </w:r>
      <w:r w:rsidRPr="0004219C">
        <w:rPr>
          <w:rStyle w:val="Emphasis"/>
        </w:rPr>
        <w:t xml:space="preserve"> </w:t>
      </w:r>
      <w:r w:rsidRPr="0004219C">
        <w:t>or equivalent legislation covering VET regulation in a non-referring state/territory as the case</w:t>
      </w:r>
      <w:r w:rsidRPr="0004219C">
        <w:t xml:space="preserve"> requires.</w:t>
      </w:r>
    </w:p>
    <w:p w:rsidR="00000000" w:rsidRPr="0004219C" w:rsidP="0004219C">
      <w:pPr>
        <w:pStyle w:val="ListBullet"/>
      </w:pPr>
      <w:r w:rsidRPr="0004219C">
        <w:t>Where possible assessment must occur in operational workplace situations. Where this is not possible or where personal safety or environmental damage are limiting factors, assessment must occur in a sufficiently rigorous simulated environment t</w:t>
      </w:r>
      <w:r w:rsidRPr="0004219C">
        <w:t>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04219C" w:rsidP="0004219C">
      <w:pPr>
        <w:pStyle w:val="ListBullet"/>
      </w:pPr>
      <w:r w:rsidRPr="0004219C">
        <w:t>Conditions for assessment mu</w:t>
      </w:r>
      <w:r w:rsidRPr="0004219C">
        <w:t>st include access to all tools, equipment, materials and documentation required including relevant workplace procedures, product and manufacturing specifications.</w:t>
      </w:r>
    </w:p>
    <w:p w:rsidR="00887876" w:rsidP="0004219C">
      <w:pPr>
        <w:pStyle w:val="ListBullet"/>
      </w:pPr>
      <w:r w:rsidRPr="0004219C">
        <w:t>Assessment processes and techniques must be appropriate to the language, literacy and numerac</w:t>
      </w:r>
      <w:r w:rsidRPr="0004219C">
        <w:t>y requirements of the work being performed and the needs of the candidate.</w:t>
      </w:r>
    </w:p>
    <w:p w:rsidR="00887876" w:rsidP="0004219C">
      <w:pPr>
        <w:pStyle w:val="ListBullet"/>
      </w:pPr>
    </w:p>
    <w:p w:rsidR="00000000" w:rsidRPr="0004219C" w:rsidP="0004219C">
      <w:pPr>
        <w:pStyle w:val="Heading1"/>
      </w:pPr>
      <w:bookmarkStart w:id="5" w:name="O_945078"/>
      <w:bookmarkEnd w:id="5"/>
      <w:r w:rsidRPr="0004219C">
        <w:t>Links</w:t>
      </w:r>
    </w:p>
    <w:p w:rsidR="00000000" w:rsidRPr="0004219C" w:rsidP="00887876">
      <w:pPr>
        <w:pStyle w:val="BodyText"/>
      </w:pPr>
      <w:r w:rsidRPr="0004219C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B419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4219C" w:rsidP="0004219C"/>
    <w:sectPr w:rsidSect="000421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9C" w:rsidRPr="00887876" w:rsidP="008878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76" w:rsidP="000421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876" w:rsidP="000421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7876" w:rsidP="000421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19C" w:rsidRPr="00887876" w:rsidP="008878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876" w:rsidRPr="002D2AF8" w:rsidP="000421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MEM234018 Design heating, ventilation, air conditioning and refrigeration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87876" w:rsidP="000421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4E0E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ECF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78E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1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1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1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1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1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1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1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1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1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1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1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19C"/>
  </w:style>
  <w:style w:type="character" w:customStyle="1" w:styleId="Heading1Char">
    <w:name w:val="Heading 1 Char"/>
    <w:basedOn w:val="DefaultParagraphFont"/>
    <w:link w:val="Heading1"/>
    <w:rsid w:val="000421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1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1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1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219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4219C"/>
    <w:rPr>
      <w:i/>
    </w:rPr>
  </w:style>
  <w:style w:type="paragraph" w:customStyle="1" w:styleId="SuperHeading">
    <w:name w:val="SuperHeading"/>
    <w:basedOn w:val="Normal"/>
    <w:rsid w:val="000421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1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21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1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1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1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1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1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1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1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1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1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1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1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1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1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1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1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1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1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219C"/>
    <w:rPr>
      <w:b/>
      <w:spacing w:val="0"/>
    </w:rPr>
  </w:style>
  <w:style w:type="paragraph" w:customStyle="1" w:styleId="SuperTitle">
    <w:name w:val="SuperTitle"/>
    <w:basedOn w:val="Title"/>
    <w:rsid w:val="000421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1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1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21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1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1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1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1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1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1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1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1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21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1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1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19C"/>
  </w:style>
  <w:style w:type="paragraph" w:styleId="TableofFigures">
    <w:name w:val="table of figures"/>
    <w:basedOn w:val="Normal"/>
    <w:next w:val="Normal"/>
    <w:semiHidden/>
    <w:rsid w:val="000421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1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219C"/>
    <w:rPr>
      <w:rFonts w:ascii="Wingdings" w:hAnsi="Wingdings"/>
    </w:rPr>
  </w:style>
  <w:style w:type="paragraph" w:customStyle="1" w:styleId="TableHeading">
    <w:name w:val="Table Heading"/>
    <w:basedOn w:val="HeadingBase"/>
    <w:rsid w:val="000421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19C"/>
    <w:rPr>
      <w:color w:val="0033CC"/>
      <w:u w:val="none"/>
    </w:rPr>
  </w:style>
  <w:style w:type="paragraph" w:customStyle="1" w:styleId="BodyTextRight">
    <w:name w:val="Body Text Right"/>
    <w:basedOn w:val="BodyText"/>
    <w:rsid w:val="000421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1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1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1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1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1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19C"/>
    <w:rPr>
      <w:sz w:val="32"/>
    </w:rPr>
  </w:style>
  <w:style w:type="paragraph" w:customStyle="1" w:styleId="HeadingProcedure">
    <w:name w:val="Heading Procedure"/>
    <w:basedOn w:val="HeadingBase"/>
    <w:next w:val="Normal"/>
    <w:rsid w:val="000421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19C"/>
    <w:pPr>
      <w:spacing w:before="60" w:after="60"/>
    </w:pPr>
  </w:style>
  <w:style w:type="paragraph" w:styleId="ListContinue">
    <w:name w:val="List Continue"/>
    <w:basedOn w:val="List"/>
    <w:rsid w:val="0004219C"/>
    <w:pPr>
      <w:ind w:firstLine="0"/>
    </w:pPr>
  </w:style>
  <w:style w:type="paragraph" w:customStyle="1" w:styleId="ListNote">
    <w:name w:val="List Note"/>
    <w:basedOn w:val="List"/>
    <w:rsid w:val="000421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1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1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19C"/>
    <w:rPr>
      <w:rFonts w:ascii="Courier New" w:hAnsi="Courier New"/>
    </w:rPr>
  </w:style>
  <w:style w:type="paragraph" w:customStyle="1" w:styleId="NoteBullet">
    <w:name w:val="Note Bullet"/>
    <w:basedOn w:val="Note"/>
    <w:rsid w:val="000421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1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1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1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1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21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1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19C"/>
    <w:rPr>
      <w:b/>
      <w:smallCaps/>
    </w:rPr>
  </w:style>
  <w:style w:type="paragraph" w:customStyle="1" w:styleId="TableListNumber">
    <w:name w:val="Table List Number"/>
    <w:basedOn w:val="ListNumber"/>
    <w:rsid w:val="000421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1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19C"/>
    <w:pPr>
      <w:numPr>
        <w:numId w:val="9"/>
      </w:numPr>
    </w:pPr>
  </w:style>
  <w:style w:type="paragraph" w:customStyle="1" w:styleId="ListAlpha2">
    <w:name w:val="List Alpha 2"/>
    <w:basedOn w:val="List2"/>
    <w:rsid w:val="0004219C"/>
    <w:pPr>
      <w:numPr>
        <w:numId w:val="8"/>
      </w:numPr>
    </w:pPr>
  </w:style>
  <w:style w:type="paragraph" w:styleId="List2">
    <w:name w:val="List 2"/>
    <w:basedOn w:val="BodyText"/>
    <w:rsid w:val="000421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1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1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1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1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1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219C"/>
    <w:pPr>
      <w:numPr>
        <w:numId w:val="4"/>
      </w:numPr>
    </w:pPr>
  </w:style>
  <w:style w:type="paragraph" w:styleId="ListContinue2">
    <w:name w:val="List Continue 2"/>
    <w:basedOn w:val="List2"/>
    <w:rsid w:val="0004219C"/>
    <w:pPr>
      <w:ind w:firstLine="0"/>
    </w:pPr>
  </w:style>
  <w:style w:type="paragraph" w:styleId="ListContinue3">
    <w:name w:val="List Continue 3"/>
    <w:basedOn w:val="List3"/>
    <w:rsid w:val="0004219C"/>
    <w:pPr>
      <w:ind w:left="1021" w:firstLine="0"/>
    </w:pPr>
  </w:style>
  <w:style w:type="paragraph" w:styleId="ListContinue4">
    <w:name w:val="List Continue 4"/>
    <w:basedOn w:val="List4"/>
    <w:rsid w:val="0004219C"/>
    <w:pPr>
      <w:ind w:firstLine="0"/>
    </w:pPr>
  </w:style>
  <w:style w:type="paragraph" w:styleId="ListContinue5">
    <w:name w:val="List Continue 5"/>
    <w:basedOn w:val="List5"/>
    <w:rsid w:val="0004219C"/>
    <w:pPr>
      <w:ind w:firstLine="0"/>
    </w:pPr>
  </w:style>
  <w:style w:type="paragraph" w:styleId="ListNumber3">
    <w:name w:val="List Number 3"/>
    <w:basedOn w:val="List3"/>
    <w:rsid w:val="0004219C"/>
    <w:pPr>
      <w:numPr>
        <w:numId w:val="5"/>
      </w:numPr>
    </w:pPr>
  </w:style>
  <w:style w:type="paragraph" w:styleId="ListNumber4">
    <w:name w:val="List Number 4"/>
    <w:basedOn w:val="List4"/>
    <w:rsid w:val="0004219C"/>
    <w:pPr>
      <w:numPr>
        <w:numId w:val="6"/>
      </w:numPr>
    </w:pPr>
  </w:style>
  <w:style w:type="paragraph" w:styleId="ListNumber5">
    <w:name w:val="List Number 5"/>
    <w:basedOn w:val="List5"/>
    <w:rsid w:val="0004219C"/>
    <w:pPr>
      <w:numPr>
        <w:numId w:val="7"/>
      </w:numPr>
    </w:pPr>
  </w:style>
  <w:style w:type="paragraph" w:styleId="BlockText">
    <w:name w:val="Block Text"/>
    <w:basedOn w:val="Normal"/>
    <w:rsid w:val="000421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1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19C"/>
    <w:rPr>
      <w:sz w:val="16"/>
      <w:vertAlign w:val="superscript"/>
    </w:rPr>
  </w:style>
  <w:style w:type="character" w:customStyle="1" w:styleId="Symbols">
    <w:name w:val="Symbols"/>
    <w:basedOn w:val="DefaultParagraphFont"/>
    <w:rsid w:val="0004219C"/>
    <w:rPr>
      <w:rFonts w:ascii="Symbol" w:hAnsi="Symbol"/>
    </w:rPr>
  </w:style>
  <w:style w:type="character" w:customStyle="1" w:styleId="MenuOptions">
    <w:name w:val="Menu Options"/>
    <w:basedOn w:val="DefaultParagraphFont"/>
    <w:rsid w:val="000421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19C"/>
    <w:rPr>
      <w:b/>
    </w:rPr>
  </w:style>
  <w:style w:type="character" w:customStyle="1" w:styleId="Underlined">
    <w:name w:val="Underlined"/>
    <w:basedOn w:val="DefaultParagraphFont"/>
    <w:rsid w:val="0004219C"/>
    <w:rPr>
      <w:u w:val="single"/>
    </w:rPr>
  </w:style>
  <w:style w:type="paragraph" w:customStyle="1" w:styleId="TableBodyTextRight">
    <w:name w:val="Table Body Text Right"/>
    <w:basedOn w:val="TableBodyText"/>
    <w:rsid w:val="000421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19C"/>
    <w:rPr>
      <w:sz w:val="18"/>
    </w:rPr>
  </w:style>
  <w:style w:type="paragraph" w:customStyle="1" w:styleId="BodySmallRight">
    <w:name w:val="Body Small Right"/>
    <w:basedOn w:val="BodyTextRight"/>
    <w:rsid w:val="0004219C"/>
    <w:rPr>
      <w:sz w:val="18"/>
      <w:szCs w:val="18"/>
    </w:rPr>
  </w:style>
  <w:style w:type="paragraph" w:customStyle="1" w:styleId="MarginEdition">
    <w:name w:val="Margin Edition"/>
    <w:basedOn w:val="MarginNote"/>
    <w:rsid w:val="000421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19C"/>
    <w:rPr>
      <w:sz w:val="2"/>
      <w:szCs w:val="2"/>
    </w:rPr>
  </w:style>
  <w:style w:type="character" w:customStyle="1" w:styleId="Small">
    <w:name w:val="Small"/>
    <w:basedOn w:val="DefaultParagraphFont"/>
    <w:rsid w:val="0004219C"/>
    <w:rPr>
      <w:sz w:val="16"/>
    </w:rPr>
  </w:style>
  <w:style w:type="paragraph" w:customStyle="1" w:styleId="WideTable">
    <w:name w:val="Wide Table"/>
    <w:basedOn w:val="Normal"/>
    <w:rsid w:val="000421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19C"/>
  </w:style>
  <w:style w:type="paragraph" w:styleId="Quote">
    <w:name w:val="Quote"/>
    <w:basedOn w:val="Heading1"/>
    <w:link w:val="QuoteChar"/>
    <w:qFormat/>
    <w:rsid w:val="000421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1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19C"/>
    <w:pPr>
      <w:pageBreakBefore/>
    </w:pPr>
  </w:style>
  <w:style w:type="paragraph" w:customStyle="1" w:styleId="Border">
    <w:name w:val="Border"/>
    <w:basedOn w:val="Normal"/>
    <w:qFormat/>
    <w:rsid w:val="000421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1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1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1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1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1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1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1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1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19C"/>
    <w:rPr>
      <w:u w:val="single"/>
    </w:rPr>
  </w:style>
  <w:style w:type="character" w:customStyle="1" w:styleId="BoldandItalics">
    <w:name w:val="Bold and Italics"/>
    <w:qFormat/>
    <w:rsid w:val="0004219C"/>
    <w:rPr>
      <w:b/>
      <w:i/>
      <w:u w:val="none"/>
    </w:rPr>
  </w:style>
  <w:style w:type="paragraph" w:styleId="BalloonText">
    <w:name w:val="Balloon Text"/>
    <w:basedOn w:val="Normal"/>
    <w:link w:val="BalloonTextChar"/>
    <w:rsid w:val="000421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1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1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1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1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1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19C"/>
    <w:pPr>
      <w:spacing w:before="0" w:after="0"/>
    </w:pPr>
  </w:style>
  <w:style w:type="paragraph" w:customStyle="1" w:styleId="BodyTextBold">
    <w:name w:val="Body Text Bold"/>
    <w:basedOn w:val="BodyText"/>
    <w:qFormat/>
    <w:rsid w:val="0004219C"/>
    <w:rPr>
      <w:b/>
    </w:rPr>
  </w:style>
  <w:style w:type="character" w:styleId="Hyperlink">
    <w:name w:val="Hyperlink"/>
    <w:basedOn w:val="DefaultParagraphFont"/>
    <w:uiPriority w:val="99"/>
    <w:unhideWhenUsed/>
    <w:rsid w:val="008878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4485</Characters>
  <Application>Microsoft Office Word</Application>
  <DocSecurity>0</DocSecurity>
  <Lines>95</Lines>
  <Paragraphs>59</Paragraphs>
  <ScaleCrop>false</ScaleCrop>
  <Company>Author-it Software Corporation Ltd.</Company>
  <LinksUpToDate>false</LinksUpToDate>
  <CharactersWithSpaces>5063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MEM234018 Design heating, ventilation, air conditioning and refrigeration control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2023-02-03T06:59:00Z</dcterms:created>
  <dcterms:modified xsi:type="dcterms:W3CDTF">2023-02-03T06:59:00Z</dcterms:modified>
</cp:coreProperties>
</file>