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422" w:rsidP="00B23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MEM234013 Plan and design engineering-related manufacturing processes</w:t>
      </w:r>
      <w:r>
        <w:fldChar w:fldCharType="end"/>
      </w:r>
    </w:p>
    <w:p w:rsidR="00B23422" w:rsidP="00B23422">
      <w:pPr>
        <w:pStyle w:val="Version"/>
        <w:sectPr w:rsidSect="00A15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EB9" w:rsidP="00A15EB9">
      <w:pPr>
        <w:pStyle w:val="SuperHeading"/>
      </w:pPr>
      <w:r w:rsidRPr="00A15EB9">
        <w:t>Assessment Requirements for MEM234013 Plan and design engineering-related manufacturing processes</w:t>
      </w:r>
    </w:p>
    <w:p w:rsidR="00000000" w:rsidRPr="00A15EB9" w:rsidP="00A15EB9">
      <w:pPr>
        <w:pStyle w:val="Heading1"/>
      </w:pPr>
      <w:bookmarkStart w:id="1" w:name="O_944984"/>
      <w:bookmarkEnd w:id="1"/>
      <w:r w:rsidRPr="00A15EB9">
        <w:t>Modification History</w:t>
      </w:r>
    </w:p>
    <w:p w:rsidR="00000000" w:rsidRPr="00A15EB9" w:rsidP="00B23422">
      <w:pPr>
        <w:pStyle w:val="BodyText"/>
      </w:pPr>
      <w:r w:rsidRPr="00A15EB9">
        <w:t>Release 1. Supersedes and is equivalent to MEM234013A Plan and design engineering-related manufacturing processes.</w:t>
      </w:r>
    </w:p>
    <w:p w:rsidR="00000000" w:rsidRPr="00A15EB9" w:rsidP="00A15EB9">
      <w:pPr>
        <w:pStyle w:val="Heading1"/>
      </w:pPr>
      <w:bookmarkStart w:id="2" w:name="O_944987"/>
      <w:bookmarkEnd w:id="2"/>
      <w:r w:rsidRPr="00A15EB9">
        <w:t>Performance Evidence</w:t>
      </w:r>
    </w:p>
    <w:p w:rsidR="00000000" w:rsidRPr="00A15EB9" w:rsidP="00B23422">
      <w:pPr>
        <w:pStyle w:val="BodyText"/>
      </w:pPr>
      <w:r w:rsidRPr="00A15EB9">
        <w:t>Evidence required to demonstrate competence in this unit must be relevant to and satisfy the requirements of the elements and performance criteria and include:</w:t>
      </w:r>
    </w:p>
    <w:p w:rsidR="00000000" w:rsidRPr="00A15EB9" w:rsidP="00A15EB9">
      <w:pPr>
        <w:pStyle w:val="ListBullet"/>
      </w:pPr>
      <w:r w:rsidRPr="00A15EB9">
        <w:t>interpreting features of product and processing options an</w:t>
      </w:r>
      <w:r w:rsidRPr="00A15EB9">
        <w:t>d parameters of the brief or contract</w:t>
      </w:r>
    </w:p>
    <w:p w:rsidR="00000000" w:rsidRPr="00A15EB9" w:rsidP="00A15EB9">
      <w:pPr>
        <w:pStyle w:val="ListBullet"/>
      </w:pPr>
      <w:r w:rsidRPr="00A15EB9">
        <w:t>planning and designing engineering-related manufacturing processes</w:t>
      </w:r>
    </w:p>
    <w:p w:rsidR="00000000" w:rsidRPr="00A15EB9" w:rsidP="00A15EB9">
      <w:pPr>
        <w:pStyle w:val="ListBullet"/>
      </w:pPr>
      <w:r w:rsidRPr="00A15EB9">
        <w:t>advising client, based on discipline knowledge and work health and safety (WHS) and regulatory standards</w:t>
      </w:r>
    </w:p>
    <w:p w:rsidR="00000000" w:rsidRPr="00A15EB9" w:rsidP="00A15EB9">
      <w:pPr>
        <w:pStyle w:val="ListBullet"/>
      </w:pPr>
      <w:r w:rsidRPr="00A15EB9">
        <w:t>establishing budget and control measures and d</w:t>
      </w:r>
      <w:r w:rsidRPr="00A15EB9">
        <w:t>esigning schedule within design project control plan</w:t>
      </w:r>
    </w:p>
    <w:p w:rsidR="00000000" w:rsidRPr="00A15EB9" w:rsidP="00A15EB9">
      <w:pPr>
        <w:pStyle w:val="ListBullet"/>
      </w:pPr>
      <w:r w:rsidRPr="00A15EB9">
        <w:t>researching planning and design parameters on at least two occasions</w:t>
      </w:r>
    </w:p>
    <w:p w:rsidR="00000000" w:rsidRPr="00A15EB9" w:rsidP="00A15EB9">
      <w:pPr>
        <w:pStyle w:val="ListBullet"/>
      </w:pPr>
      <w:r w:rsidRPr="00A15EB9">
        <w:t>determining sustainability, WHS, regulatory and risk management requirements</w:t>
      </w:r>
    </w:p>
    <w:p w:rsidR="00000000" w:rsidRPr="00A15EB9" w:rsidP="00A15EB9">
      <w:pPr>
        <w:pStyle w:val="ListBullet"/>
      </w:pPr>
      <w:r w:rsidRPr="00A15EB9">
        <w:t>investigating faults in existing manufacturing process de</w:t>
      </w:r>
      <w:r w:rsidRPr="00A15EB9">
        <w:t>signs and proposing solutions</w:t>
      </w:r>
    </w:p>
    <w:p w:rsidR="00000000" w:rsidRPr="00A15EB9" w:rsidP="00A15EB9">
      <w:pPr>
        <w:pStyle w:val="ListBullet"/>
      </w:pPr>
      <w:r w:rsidRPr="00A15EB9">
        <w:t>reviewing engineering manufacturing process requirements on at least two occasions</w:t>
      </w:r>
    </w:p>
    <w:p w:rsidR="00000000" w:rsidRPr="00A15EB9" w:rsidP="00A15EB9">
      <w:pPr>
        <w:pStyle w:val="ListBullet"/>
      </w:pPr>
      <w:r w:rsidRPr="00A15EB9">
        <w:t>modelling and calculating using appropriate software and validation techniques</w:t>
      </w:r>
    </w:p>
    <w:p w:rsidR="00000000" w:rsidRPr="00A15EB9" w:rsidP="00A15EB9">
      <w:pPr>
        <w:pStyle w:val="ListBullet"/>
      </w:pPr>
      <w:r w:rsidRPr="00A15EB9">
        <w:t>generating solutions and evaluating feasibility against design c</w:t>
      </w:r>
      <w:r w:rsidRPr="00A15EB9">
        <w:t>riteria</w:t>
      </w:r>
    </w:p>
    <w:p w:rsidR="00000000" w:rsidRPr="00A15EB9" w:rsidP="00A15EB9">
      <w:pPr>
        <w:pStyle w:val="ListBullet"/>
      </w:pPr>
      <w:r w:rsidRPr="00A15EB9">
        <w:t>incorporating maintenance management, human resources (HR), information management and continuous improvement systems</w:t>
      </w:r>
    </w:p>
    <w:p w:rsidR="00000000" w:rsidRPr="00A15EB9" w:rsidP="00A15EB9">
      <w:pPr>
        <w:pStyle w:val="ListBullet"/>
      </w:pPr>
      <w:r w:rsidRPr="00A15EB9">
        <w:t>implementing systems thinking, continuous improvement, and constraint and contingency management options</w:t>
      </w:r>
    </w:p>
    <w:p w:rsidR="00000000" w:rsidRPr="00A15EB9" w:rsidP="00A15EB9">
      <w:pPr>
        <w:pStyle w:val="ListBullet"/>
      </w:pPr>
      <w:r w:rsidRPr="00A15EB9">
        <w:t>communicating, negotiatin</w:t>
      </w:r>
      <w:r w:rsidRPr="00A15EB9">
        <w:t>g and reviewing with stakeholders and client throughout the process to obtain agreement on proposal and sign-off on design</w:t>
      </w:r>
    </w:p>
    <w:p w:rsidR="00000000" w:rsidRPr="00A15EB9" w:rsidP="00A15EB9">
      <w:pPr>
        <w:pStyle w:val="ListBullet"/>
      </w:pPr>
      <w:r w:rsidRPr="00A15EB9">
        <w:t>documenting design with required drawings, specifications and instructions.</w:t>
      </w:r>
    </w:p>
    <w:p w:rsidR="00000000" w:rsidRPr="00A15EB9" w:rsidP="00A15EB9">
      <w:pPr>
        <w:pStyle w:val="BodyText"/>
      </w:pPr>
    </w:p>
    <w:p w:rsidR="00B23422" w:rsidRPr="00B23422" w:rsidP="00B23422">
      <w:pPr>
        <w:pStyle w:val="BodyText"/>
        <w:rPr>
          <w:i/>
        </w:rPr>
      </w:pPr>
      <w:r w:rsidRPr="00B23422">
        <w:rPr>
          <w:rStyle w:val="Emphasis"/>
        </w:rPr>
        <w:t xml:space="preserve">Note: Where a volume and/or frequency is not specified, </w:t>
      </w:r>
      <w:r w:rsidRPr="00B23422">
        <w:rPr>
          <w:rStyle w:val="Emphasis"/>
        </w:rPr>
        <w:t>demonstration must be provided at least once.</w:t>
      </w:r>
    </w:p>
    <w:p w:rsidR="00000000" w:rsidRPr="00A15EB9" w:rsidP="00A15EB9">
      <w:pPr>
        <w:pStyle w:val="Heading1"/>
      </w:pPr>
      <w:bookmarkStart w:id="3" w:name="O_944986"/>
      <w:bookmarkEnd w:id="3"/>
      <w:r w:rsidRPr="00A15EB9">
        <w:t>Knowledge Evidence</w:t>
      </w:r>
    </w:p>
    <w:p w:rsidR="00000000" w:rsidRPr="00A15EB9" w:rsidP="00B23422">
      <w:pPr>
        <w:pStyle w:val="BodyText"/>
      </w:pPr>
      <w:r w:rsidRPr="00A15EB9">
        <w:t xml:space="preserve">Evidence required to demonstrate the required knowledge for this unit must be relevant to and satisfy the requirements of the elements and performance </w:t>
      </w:r>
      <w:r w:rsidRPr="00A15EB9">
        <w:t>criteria and include knowledge of:</w:t>
      </w:r>
    </w:p>
    <w:p w:rsidR="00000000" w:rsidRPr="00A15EB9" w:rsidP="00A15EB9">
      <w:pPr>
        <w:pStyle w:val="ListBullet"/>
      </w:pPr>
      <w:r w:rsidRPr="00A15EB9">
        <w:t>advanced and current manufacturing process design methodologies</w:t>
      </w:r>
    </w:p>
    <w:p w:rsidR="00000000" w:rsidRPr="00A15EB9" w:rsidP="00A15EB9">
      <w:pPr>
        <w:pStyle w:val="ListBullet"/>
      </w:pPr>
      <w:r w:rsidRPr="00A15EB9">
        <w:t>appropriate technical and professional assistance</w:t>
      </w:r>
    </w:p>
    <w:p w:rsidR="00000000" w:rsidRPr="00A15EB9" w:rsidP="00A15EB9">
      <w:pPr>
        <w:pStyle w:val="ListBullet"/>
      </w:pPr>
      <w:r w:rsidRPr="00A15EB9">
        <w:t>brief parameters</w:t>
      </w:r>
    </w:p>
    <w:p w:rsidR="00000000" w:rsidRPr="00A15EB9" w:rsidP="00A15EB9">
      <w:pPr>
        <w:pStyle w:val="ListBullet"/>
      </w:pPr>
      <w:r w:rsidRPr="00A15EB9">
        <w:t>standardisation techniques</w:t>
      </w:r>
    </w:p>
    <w:p w:rsidR="00000000" w:rsidRPr="00A15EB9" w:rsidP="00A15EB9">
      <w:pPr>
        <w:pStyle w:val="ListBullet"/>
      </w:pPr>
      <w:r w:rsidRPr="00A15EB9">
        <w:t>economic, social and sustainability implications</w:t>
      </w:r>
    </w:p>
    <w:p w:rsidR="00000000" w:rsidRPr="00A15EB9" w:rsidP="00A15EB9">
      <w:pPr>
        <w:pStyle w:val="ListBullet"/>
      </w:pPr>
      <w:r w:rsidRPr="00A15EB9">
        <w:t>market compet</w:t>
      </w:r>
      <w:r w:rsidRPr="00A15EB9">
        <w:t>itiveness factors</w:t>
      </w:r>
    </w:p>
    <w:p w:rsidR="00000000" w:rsidRPr="00A15EB9" w:rsidP="00A15EB9">
      <w:pPr>
        <w:pStyle w:val="ListBullet"/>
      </w:pPr>
      <w:r w:rsidRPr="00A15EB9">
        <w:t>lean manufacturing principles</w:t>
      </w:r>
    </w:p>
    <w:p w:rsidR="00000000" w:rsidRPr="00A15EB9" w:rsidP="00A15EB9">
      <w:pPr>
        <w:pStyle w:val="ListBullet"/>
      </w:pPr>
      <w:r w:rsidRPr="00A15EB9">
        <w:t>automated design tools</w:t>
      </w:r>
    </w:p>
    <w:p w:rsidR="00000000" w:rsidRPr="00A15EB9" w:rsidP="00A15EB9">
      <w:pPr>
        <w:pStyle w:val="ListBullet"/>
      </w:pPr>
      <w:r w:rsidRPr="00A15EB9">
        <w:t>project planning, scheduling and control techniques including budgeting and costing</w:t>
      </w:r>
    </w:p>
    <w:p w:rsidR="00000000" w:rsidRPr="00A15EB9" w:rsidP="00A15EB9">
      <w:pPr>
        <w:pStyle w:val="ListBullet"/>
      </w:pPr>
      <w:r w:rsidRPr="00A15EB9">
        <w:t>characteristics of, and differences between, jobbing, flexible and mass production, and continuous pr</w:t>
      </w:r>
      <w:r w:rsidRPr="00A15EB9">
        <w:t>ocess</w:t>
      </w:r>
    </w:p>
    <w:p w:rsidR="00000000" w:rsidRPr="00A15EB9" w:rsidP="00A15EB9">
      <w:pPr>
        <w:pStyle w:val="ListBullet"/>
      </w:pPr>
      <w:r w:rsidRPr="00A15EB9">
        <w:t>implications of maintenance management and human resource systems for engineering-related planning processes</w:t>
      </w:r>
    </w:p>
    <w:p w:rsidR="00000000" w:rsidRPr="00A15EB9" w:rsidP="00A15EB9">
      <w:pPr>
        <w:pStyle w:val="ListBullet"/>
      </w:pPr>
      <w:r w:rsidRPr="00A15EB9">
        <w:t xml:space="preserve">production information flow required for and from a manufacturing process </w:t>
      </w:r>
    </w:p>
    <w:p w:rsidR="00000000" w:rsidRPr="00A15EB9" w:rsidP="00A15EB9">
      <w:pPr>
        <w:pStyle w:val="ListBullet"/>
      </w:pPr>
      <w:r w:rsidRPr="00A15EB9">
        <w:t>regulatory environment requirements, applicable standards and code</w:t>
      </w:r>
      <w:r w:rsidRPr="00A15EB9">
        <w:t>s of practice</w:t>
      </w:r>
    </w:p>
    <w:p w:rsidR="00000000" w:rsidRPr="00A15EB9" w:rsidP="00A15EB9">
      <w:pPr>
        <w:pStyle w:val="ListBullet"/>
      </w:pPr>
      <w:r w:rsidRPr="00A15EB9">
        <w:t>WHS and regulatory requirements, codes of practice, standards and registration requirements</w:t>
      </w:r>
    </w:p>
    <w:p w:rsidR="00000000" w:rsidRPr="00A15EB9" w:rsidP="00A15EB9">
      <w:pPr>
        <w:pStyle w:val="ListBullet"/>
      </w:pPr>
      <w:r w:rsidRPr="00A15EB9">
        <w:t>process design documentation, drawings, specifications and instructions</w:t>
      </w:r>
    </w:p>
    <w:p w:rsidR="00000000" w:rsidRPr="00A15EB9" w:rsidP="00A15EB9">
      <w:pPr>
        <w:pStyle w:val="ListBullet"/>
      </w:pPr>
      <w:r w:rsidRPr="00A15EB9">
        <w:t>techniques for:</w:t>
      </w:r>
    </w:p>
    <w:p w:rsidR="00000000" w:rsidRPr="00A15EB9" w:rsidP="00A15EB9">
      <w:pPr>
        <w:pStyle w:val="ListBullet2"/>
      </w:pPr>
      <w:r w:rsidRPr="00A15EB9">
        <w:t>continuous improvement</w:t>
      </w:r>
    </w:p>
    <w:p w:rsidR="00000000" w:rsidRPr="00A15EB9" w:rsidP="00A15EB9">
      <w:pPr>
        <w:pStyle w:val="ListBullet2"/>
      </w:pPr>
      <w:r w:rsidRPr="00A15EB9">
        <w:t>problem-solving and decision-making</w:t>
      </w:r>
    </w:p>
    <w:p w:rsidR="00000000" w:rsidRPr="00A15EB9" w:rsidP="00A15EB9">
      <w:pPr>
        <w:pStyle w:val="ListBullet2"/>
      </w:pPr>
      <w:r w:rsidRPr="00A15EB9">
        <w:t>root cause analysis (RCA) or failure mode and effects analysis (FMEA) or design review based on failure mode (DRBFM), and Pareto analysis.</w:t>
      </w:r>
    </w:p>
    <w:p w:rsidR="00000000" w:rsidRPr="00A15EB9" w:rsidP="00A15EB9">
      <w:pPr>
        <w:pStyle w:val="AllowPageBreak"/>
      </w:pPr>
    </w:p>
    <w:p w:rsidR="00000000" w:rsidRPr="00A15EB9" w:rsidP="00A15EB9">
      <w:pPr>
        <w:pStyle w:val="Heading1"/>
      </w:pPr>
      <w:bookmarkStart w:id="4" w:name="O_944985"/>
      <w:bookmarkEnd w:id="4"/>
      <w:r w:rsidRPr="00A15EB9">
        <w:t>Assessment Conditions</w:t>
      </w:r>
    </w:p>
    <w:p w:rsidR="00000000" w:rsidRPr="00A15EB9" w:rsidP="00A15EB9">
      <w:pPr>
        <w:pStyle w:val="ListBullet"/>
      </w:pPr>
      <w:r w:rsidRPr="00A15EB9">
        <w:t>Assessors must:</w:t>
      </w:r>
    </w:p>
    <w:p w:rsidR="00000000" w:rsidRPr="00A15EB9" w:rsidP="00A15EB9">
      <w:pPr>
        <w:pStyle w:val="ListBullet2"/>
      </w:pPr>
      <w:r w:rsidRPr="00A15EB9">
        <w:t>have vocational competency in planning and designing enginee</w:t>
      </w:r>
      <w:r w:rsidRPr="00A15EB9">
        <w:t>ring-related manufacturing processes at least to the level being assessed with relevant industry knowledge and experience</w:t>
      </w:r>
    </w:p>
    <w:p w:rsidR="00000000" w:rsidRPr="00A15EB9" w:rsidP="00A15EB9">
      <w:pPr>
        <w:pStyle w:val="ListBullet2"/>
      </w:pPr>
      <w:r w:rsidRPr="00A15EB9">
        <w:t>satisfy the assessor requirements in the Standards for Registered Training Organisations 2015 or its replacement and comply with the N</w:t>
      </w:r>
      <w:r w:rsidRPr="00A15EB9">
        <w:t>ational Vocational Education and Training Regulator Act 2011, its replacement or equivalent legislation covering VET regulation in a non-referring state/territory as the case requires.</w:t>
      </w:r>
    </w:p>
    <w:p w:rsidR="00000000" w:rsidRPr="00A15EB9" w:rsidP="00A15EB9">
      <w:pPr>
        <w:pStyle w:val="ListBullet"/>
      </w:pPr>
      <w:r w:rsidRPr="00A15EB9">
        <w:t>Where possible assessment must occur in operational workplace situatio</w:t>
      </w:r>
      <w:r w:rsidRPr="00A15EB9">
        <w:t xml:space="preserve">ns. Where this is not possible or where personal safety or environmental damage are limiting factors, assessment must occur in a sufficiently rigorous simulated environment that reflects realistic operational workplace conditions that cover all aspects of </w:t>
      </w:r>
      <w:r w:rsidRPr="00A15EB9">
        <w:t>workplace performance, including environment, task skills, task management skills, contingency management skills and job role environment skills.</w:t>
      </w:r>
    </w:p>
    <w:p w:rsidR="00000000" w:rsidRPr="00A15EB9" w:rsidP="00A15EB9">
      <w:pPr>
        <w:pStyle w:val="ListBullet"/>
      </w:pPr>
      <w:r w:rsidRPr="00A15EB9">
        <w:t>Conditions for assessment must include access to all tools, equipment, materials and documentation required in</w:t>
      </w:r>
      <w:r w:rsidRPr="00A15EB9">
        <w:t>cluding relevant workplace procedures, product and manufacturing specifications.</w:t>
      </w:r>
    </w:p>
    <w:p w:rsidR="00B23422" w:rsidP="00A15EB9">
      <w:pPr>
        <w:pStyle w:val="ListBullet"/>
      </w:pPr>
      <w:r w:rsidRPr="00A15EB9">
        <w:t>Assessment processes and techniques must be appropriate to the language, literacy and numeracy requirements of the work being performed and the needs of the candidate.</w:t>
      </w:r>
    </w:p>
    <w:p w:rsidR="00B23422" w:rsidP="00A15EB9">
      <w:pPr>
        <w:pStyle w:val="ListBullet"/>
      </w:pPr>
    </w:p>
    <w:p w:rsidR="00000000" w:rsidRPr="00A15EB9" w:rsidP="00A15EB9">
      <w:pPr>
        <w:pStyle w:val="Heading1"/>
      </w:pPr>
      <w:bookmarkStart w:id="5" w:name="O_944983"/>
      <w:bookmarkEnd w:id="5"/>
      <w:r w:rsidRPr="00A15EB9">
        <w:t>Links</w:t>
      </w:r>
    </w:p>
    <w:p w:rsidR="00000000" w:rsidRPr="00A15EB9" w:rsidP="00B23422">
      <w:pPr>
        <w:pStyle w:val="BodyText"/>
      </w:pPr>
      <w:r w:rsidRPr="00A15EB9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1369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15EB9" w:rsidP="00A15EB9"/>
    <w:sectPr w:rsidSect="00A15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2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22" w:rsidP="00A15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3422" w:rsidP="00A15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3422" w:rsidP="00A15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EB9" w:rsidRPr="00B23422" w:rsidP="00B23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22" w:rsidRPr="002D2AF8" w:rsidP="00A15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MEM234013 Plan and design engineering-related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3422" w:rsidP="00A15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9C9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81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5A8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EB9"/>
  </w:style>
  <w:style w:type="character" w:customStyle="1" w:styleId="Heading1Char">
    <w:name w:val="Heading 1 Char"/>
    <w:basedOn w:val="DefaultParagraphFont"/>
    <w:link w:val="Heading1"/>
    <w:rsid w:val="00A15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E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E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5E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5EB9"/>
    <w:rPr>
      <w:i/>
    </w:rPr>
  </w:style>
  <w:style w:type="paragraph" w:customStyle="1" w:styleId="SuperHeading">
    <w:name w:val="SuperHeading"/>
    <w:basedOn w:val="Normal"/>
    <w:rsid w:val="00A15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E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5EB9"/>
    <w:rPr>
      <w:b/>
      <w:spacing w:val="0"/>
    </w:rPr>
  </w:style>
  <w:style w:type="paragraph" w:customStyle="1" w:styleId="SuperTitle">
    <w:name w:val="SuperTitle"/>
    <w:basedOn w:val="Title"/>
    <w:rsid w:val="00A15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E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EB9"/>
  </w:style>
  <w:style w:type="paragraph" w:styleId="TableofFigures">
    <w:name w:val="table of figures"/>
    <w:basedOn w:val="Normal"/>
    <w:next w:val="Normal"/>
    <w:semiHidden/>
    <w:rsid w:val="00A15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E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EB9"/>
    <w:rPr>
      <w:rFonts w:ascii="Wingdings" w:hAnsi="Wingdings"/>
    </w:rPr>
  </w:style>
  <w:style w:type="paragraph" w:customStyle="1" w:styleId="TableHeading">
    <w:name w:val="Table Heading"/>
    <w:basedOn w:val="HeadingBase"/>
    <w:rsid w:val="00A15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EB9"/>
    <w:rPr>
      <w:color w:val="0033CC"/>
      <w:u w:val="none"/>
    </w:rPr>
  </w:style>
  <w:style w:type="paragraph" w:customStyle="1" w:styleId="BodyTextRight">
    <w:name w:val="Body Text Right"/>
    <w:basedOn w:val="BodyText"/>
    <w:rsid w:val="00A15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E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EB9"/>
    <w:rPr>
      <w:sz w:val="32"/>
    </w:rPr>
  </w:style>
  <w:style w:type="paragraph" w:customStyle="1" w:styleId="HeadingProcedure">
    <w:name w:val="Heading Procedure"/>
    <w:basedOn w:val="HeadingBase"/>
    <w:next w:val="Normal"/>
    <w:rsid w:val="00A15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EB9"/>
    <w:pPr>
      <w:spacing w:before="60" w:after="60"/>
    </w:pPr>
  </w:style>
  <w:style w:type="paragraph" w:styleId="ListContinue">
    <w:name w:val="List Continue"/>
    <w:basedOn w:val="List"/>
    <w:rsid w:val="00A15EB9"/>
    <w:pPr>
      <w:ind w:firstLine="0"/>
    </w:pPr>
  </w:style>
  <w:style w:type="paragraph" w:customStyle="1" w:styleId="ListNote">
    <w:name w:val="List Note"/>
    <w:basedOn w:val="List"/>
    <w:rsid w:val="00A15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EB9"/>
    <w:rPr>
      <w:rFonts w:ascii="Courier New" w:hAnsi="Courier New"/>
    </w:rPr>
  </w:style>
  <w:style w:type="paragraph" w:customStyle="1" w:styleId="NoteBullet">
    <w:name w:val="Note Bullet"/>
    <w:basedOn w:val="Note"/>
    <w:rsid w:val="00A15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E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EB9"/>
    <w:rPr>
      <w:b/>
      <w:smallCaps/>
    </w:rPr>
  </w:style>
  <w:style w:type="paragraph" w:customStyle="1" w:styleId="TableListNumber">
    <w:name w:val="Table List Number"/>
    <w:basedOn w:val="ListNumber"/>
    <w:rsid w:val="00A15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EB9"/>
    <w:pPr>
      <w:numPr>
        <w:numId w:val="9"/>
      </w:numPr>
    </w:pPr>
  </w:style>
  <w:style w:type="paragraph" w:customStyle="1" w:styleId="ListAlpha2">
    <w:name w:val="List Alpha 2"/>
    <w:basedOn w:val="List2"/>
    <w:rsid w:val="00A15EB9"/>
    <w:pPr>
      <w:numPr>
        <w:numId w:val="8"/>
      </w:numPr>
    </w:pPr>
  </w:style>
  <w:style w:type="paragraph" w:styleId="List2">
    <w:name w:val="List 2"/>
    <w:basedOn w:val="BodyText"/>
    <w:rsid w:val="00A15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E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E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EB9"/>
    <w:pPr>
      <w:numPr>
        <w:numId w:val="4"/>
      </w:numPr>
    </w:pPr>
  </w:style>
  <w:style w:type="paragraph" w:styleId="ListContinue2">
    <w:name w:val="List Continue 2"/>
    <w:basedOn w:val="List2"/>
    <w:rsid w:val="00A15EB9"/>
    <w:pPr>
      <w:ind w:firstLine="0"/>
    </w:pPr>
  </w:style>
  <w:style w:type="paragraph" w:styleId="ListContinue3">
    <w:name w:val="List Continue 3"/>
    <w:basedOn w:val="List3"/>
    <w:rsid w:val="00A15EB9"/>
    <w:pPr>
      <w:ind w:left="1021" w:firstLine="0"/>
    </w:pPr>
  </w:style>
  <w:style w:type="paragraph" w:styleId="ListContinue4">
    <w:name w:val="List Continue 4"/>
    <w:basedOn w:val="List4"/>
    <w:rsid w:val="00A15EB9"/>
    <w:pPr>
      <w:ind w:firstLine="0"/>
    </w:pPr>
  </w:style>
  <w:style w:type="paragraph" w:styleId="ListContinue5">
    <w:name w:val="List Continue 5"/>
    <w:basedOn w:val="List5"/>
    <w:rsid w:val="00A15EB9"/>
    <w:pPr>
      <w:ind w:firstLine="0"/>
    </w:pPr>
  </w:style>
  <w:style w:type="paragraph" w:styleId="ListNumber3">
    <w:name w:val="List Number 3"/>
    <w:basedOn w:val="List3"/>
    <w:rsid w:val="00A15EB9"/>
    <w:pPr>
      <w:numPr>
        <w:numId w:val="5"/>
      </w:numPr>
    </w:pPr>
  </w:style>
  <w:style w:type="paragraph" w:styleId="ListNumber4">
    <w:name w:val="List Number 4"/>
    <w:basedOn w:val="List4"/>
    <w:rsid w:val="00A15EB9"/>
    <w:pPr>
      <w:numPr>
        <w:numId w:val="6"/>
      </w:numPr>
    </w:pPr>
  </w:style>
  <w:style w:type="paragraph" w:styleId="ListNumber5">
    <w:name w:val="List Number 5"/>
    <w:basedOn w:val="List5"/>
    <w:rsid w:val="00A15EB9"/>
    <w:pPr>
      <w:numPr>
        <w:numId w:val="7"/>
      </w:numPr>
    </w:pPr>
  </w:style>
  <w:style w:type="paragraph" w:styleId="BlockText">
    <w:name w:val="Block Text"/>
    <w:basedOn w:val="Normal"/>
    <w:rsid w:val="00A15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EB9"/>
    <w:rPr>
      <w:sz w:val="16"/>
      <w:vertAlign w:val="superscript"/>
    </w:rPr>
  </w:style>
  <w:style w:type="character" w:customStyle="1" w:styleId="Symbols">
    <w:name w:val="Symbols"/>
    <w:basedOn w:val="DefaultParagraphFont"/>
    <w:rsid w:val="00A15EB9"/>
    <w:rPr>
      <w:rFonts w:ascii="Symbol" w:hAnsi="Symbol"/>
    </w:rPr>
  </w:style>
  <w:style w:type="character" w:customStyle="1" w:styleId="MenuOptions">
    <w:name w:val="Menu Options"/>
    <w:basedOn w:val="DefaultParagraphFont"/>
    <w:rsid w:val="00A15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EB9"/>
    <w:rPr>
      <w:b/>
    </w:rPr>
  </w:style>
  <w:style w:type="character" w:customStyle="1" w:styleId="Underlined">
    <w:name w:val="Underlined"/>
    <w:basedOn w:val="DefaultParagraphFont"/>
    <w:rsid w:val="00A15EB9"/>
    <w:rPr>
      <w:u w:val="single"/>
    </w:rPr>
  </w:style>
  <w:style w:type="paragraph" w:customStyle="1" w:styleId="TableBodyTextRight">
    <w:name w:val="Table Body Text Right"/>
    <w:basedOn w:val="TableBodyText"/>
    <w:rsid w:val="00A15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EB9"/>
    <w:rPr>
      <w:sz w:val="18"/>
    </w:rPr>
  </w:style>
  <w:style w:type="paragraph" w:customStyle="1" w:styleId="BodySmallRight">
    <w:name w:val="Body Small Right"/>
    <w:basedOn w:val="BodyTextRight"/>
    <w:rsid w:val="00A15EB9"/>
    <w:rPr>
      <w:sz w:val="18"/>
      <w:szCs w:val="18"/>
    </w:rPr>
  </w:style>
  <w:style w:type="paragraph" w:customStyle="1" w:styleId="MarginEdition">
    <w:name w:val="Margin Edition"/>
    <w:basedOn w:val="MarginNote"/>
    <w:rsid w:val="00A15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EB9"/>
    <w:rPr>
      <w:sz w:val="2"/>
      <w:szCs w:val="2"/>
    </w:rPr>
  </w:style>
  <w:style w:type="character" w:customStyle="1" w:styleId="Small">
    <w:name w:val="Small"/>
    <w:basedOn w:val="DefaultParagraphFont"/>
    <w:rsid w:val="00A15EB9"/>
    <w:rPr>
      <w:sz w:val="16"/>
    </w:rPr>
  </w:style>
  <w:style w:type="paragraph" w:customStyle="1" w:styleId="WideTable">
    <w:name w:val="Wide Table"/>
    <w:basedOn w:val="Normal"/>
    <w:rsid w:val="00A15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EB9"/>
  </w:style>
  <w:style w:type="paragraph" w:styleId="Quote">
    <w:name w:val="Quote"/>
    <w:basedOn w:val="Heading1"/>
    <w:link w:val="QuoteChar"/>
    <w:qFormat/>
    <w:rsid w:val="00A15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EB9"/>
    <w:pPr>
      <w:pageBreakBefore/>
    </w:pPr>
  </w:style>
  <w:style w:type="paragraph" w:customStyle="1" w:styleId="Border">
    <w:name w:val="Border"/>
    <w:basedOn w:val="Normal"/>
    <w:qFormat/>
    <w:rsid w:val="00A15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EB9"/>
    <w:rPr>
      <w:u w:val="single"/>
    </w:rPr>
  </w:style>
  <w:style w:type="character" w:customStyle="1" w:styleId="BoldandItalics">
    <w:name w:val="Bold and Italics"/>
    <w:qFormat/>
    <w:rsid w:val="00A15EB9"/>
    <w:rPr>
      <w:b/>
      <w:i/>
      <w:u w:val="none"/>
    </w:rPr>
  </w:style>
  <w:style w:type="paragraph" w:styleId="BalloonText">
    <w:name w:val="Balloon Text"/>
    <w:basedOn w:val="Normal"/>
    <w:link w:val="BalloonTextChar"/>
    <w:rsid w:val="00A15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EB9"/>
    <w:pPr>
      <w:spacing w:before="0" w:after="0"/>
    </w:pPr>
  </w:style>
  <w:style w:type="paragraph" w:customStyle="1" w:styleId="BodyTextBold">
    <w:name w:val="Body Text Bold"/>
    <w:basedOn w:val="BodyText"/>
    <w:qFormat/>
    <w:rsid w:val="00A15EB9"/>
    <w:rPr>
      <w:b/>
    </w:rPr>
  </w:style>
  <w:style w:type="character" w:styleId="Hyperlink">
    <w:name w:val="Hyperlink"/>
    <w:basedOn w:val="DefaultParagraphFont"/>
    <w:uiPriority w:val="99"/>
    <w:unhideWhenUsed/>
    <w:rsid w:val="00B23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4336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MEM234013 Plan and design engineering-related manufacturing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