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849" w:rsidP="00E2384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MEM234011 Design programmable logic controller applications</w:t>
      </w:r>
      <w:r>
        <w:fldChar w:fldCharType="end"/>
      </w:r>
    </w:p>
    <w:p w:rsidR="00E23849" w:rsidP="00E23849">
      <w:pPr>
        <w:pStyle w:val="Version"/>
        <w:sectPr w:rsidSect="000E37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702" w:rsidP="000E3702">
      <w:pPr>
        <w:pStyle w:val="SuperHeading"/>
      </w:pPr>
      <w:r w:rsidRPr="000E3702">
        <w:t>MEM234011 Design programmable logic controller applications</w:t>
      </w:r>
    </w:p>
    <w:p w:rsidR="00000000" w:rsidRPr="000E3702" w:rsidP="000E3702">
      <w:pPr>
        <w:pStyle w:val="Heading1"/>
      </w:pPr>
      <w:bookmarkStart w:id="1" w:name="O_944950"/>
      <w:bookmarkEnd w:id="1"/>
      <w:r w:rsidRPr="000E3702">
        <w:t>Modification History</w:t>
      </w:r>
    </w:p>
    <w:p w:rsidR="00000000" w:rsidRPr="000E3702" w:rsidP="00E23849">
      <w:pPr>
        <w:pStyle w:val="BodyText"/>
      </w:pPr>
      <w:r w:rsidRPr="000E3702">
        <w:t>Release 1. Supersedes and is equivalent to MEM234011A Design programmable logic controller applications.</w:t>
      </w:r>
    </w:p>
    <w:p w:rsidR="00000000" w:rsidRPr="000E3702" w:rsidP="000E3702">
      <w:pPr>
        <w:pStyle w:val="Heading1"/>
      </w:pPr>
      <w:bookmarkStart w:id="2" w:name="O_944958"/>
      <w:bookmarkEnd w:id="2"/>
      <w:r w:rsidRPr="000E3702">
        <w:t>Application</w:t>
      </w:r>
    </w:p>
    <w:p w:rsidR="00000000" w:rsidRPr="000E3702" w:rsidP="00E23849">
      <w:pPr>
        <w:pStyle w:val="BodyText"/>
      </w:pPr>
      <w:r w:rsidRPr="000E3702">
        <w:t>This unit of competency defines the skills and knowledge required to design an engine</w:t>
      </w:r>
      <w:r w:rsidRPr="000E3702">
        <w:t>ering application using a programmable logic controller (PLC). It includes consideration of sustainability implications, work health and safety (WHS) and automation safety.</w:t>
      </w:r>
    </w:p>
    <w:p w:rsidR="00000000" w:rsidRPr="000E3702" w:rsidP="00E23849">
      <w:pPr>
        <w:pStyle w:val="BodyText"/>
      </w:pPr>
      <w:r w:rsidRPr="000E3702">
        <w:t>The client may be internal or external to the designer’s organisation.</w:t>
      </w:r>
    </w:p>
    <w:p w:rsidR="00000000" w:rsidRPr="000E3702" w:rsidP="00E23849">
      <w:pPr>
        <w:pStyle w:val="BodyText"/>
      </w:pPr>
      <w:r w:rsidRPr="000E3702">
        <w:t>The unit app</w:t>
      </w:r>
      <w:r w:rsidRPr="000E3702">
        <w:t xml:space="preserve">lies to the control of machines, equipment or processes that can have thermodynamic, hydrodynamic, fluid power or mechanical system elements using a PLC. Control functions can be digital and analog and can also include feedback. Network and remote control </w:t>
      </w:r>
      <w:r w:rsidRPr="000E3702">
        <w:t xml:space="preserve">can also be used. </w:t>
      </w:r>
    </w:p>
    <w:p w:rsidR="00000000" w:rsidRPr="000E3702" w:rsidP="00E23849">
      <w:pPr>
        <w:pStyle w:val="BodyText"/>
      </w:pPr>
      <w:r w:rsidRPr="000E3702">
        <w:t>The unit is suitable for mechatronics and automated systems designers, systems maintenance, machine and process control, or computer-integrated manufacturing (CIM) designers. Design activities can also include reverse engineering and des</w:t>
      </w:r>
      <w:r w:rsidRPr="000E3702">
        <w:t>ign rectification or modifications of an existing design.</w:t>
      </w:r>
    </w:p>
    <w:p w:rsidR="00000000" w:rsidRPr="000E3702" w:rsidP="00E23849">
      <w:pPr>
        <w:pStyle w:val="BodyText"/>
      </w:pPr>
      <w:r w:rsidRPr="000E3702">
        <w:t>Individuals completing this work either already have or are developing skills and experience in the evaluation of PLC systems, application of computing, controllers, mathematics, and basic electrica</w:t>
      </w:r>
      <w:r w:rsidRPr="000E3702">
        <w:t xml:space="preserve">l and electronics safety procedures. </w:t>
      </w:r>
    </w:p>
    <w:p w:rsidR="00000000" w:rsidRPr="000E3702" w:rsidP="00E23849">
      <w:pPr>
        <w:pStyle w:val="BodyText"/>
      </w:pPr>
      <w:r w:rsidRPr="000E3702">
        <w:t>Additionally, experience in mechanical, fluid power, thermodynamic, manufacturing methods and processes may be required by particular system designs.</w:t>
      </w:r>
    </w:p>
    <w:p w:rsidR="00000000" w:rsidRPr="000E3702" w:rsidP="00E23849">
      <w:pPr>
        <w:pStyle w:val="BodyText"/>
      </w:pPr>
      <w:r w:rsidRPr="000E3702">
        <w:t>No licensing, legislative or certification requirements apply to thi</w:t>
      </w:r>
      <w:r w:rsidRPr="000E3702">
        <w:t>s unit at the time of publication.</w:t>
      </w:r>
    </w:p>
    <w:p w:rsidR="00000000" w:rsidRPr="000E3702" w:rsidP="000E3702">
      <w:pPr>
        <w:pStyle w:val="Heading1"/>
      </w:pPr>
      <w:bookmarkStart w:id="3" w:name="O_944957"/>
      <w:bookmarkEnd w:id="3"/>
      <w:r w:rsidRPr="000E3702">
        <w:t>Pre-requisite Unit</w:t>
      </w:r>
    </w:p>
    <w:p w:rsidR="00000000" w:rsidRPr="000E3702" w:rsidP="00E23849">
      <w:pPr>
        <w:pStyle w:val="BodyText"/>
      </w:pPr>
      <w:r w:rsidRPr="000E3702">
        <w:t>Nil</w:t>
      </w:r>
    </w:p>
    <w:p w:rsidR="00000000" w:rsidRPr="000E3702" w:rsidP="000E3702">
      <w:pPr>
        <w:pStyle w:val="Heading1"/>
      </w:pPr>
      <w:bookmarkStart w:id="4" w:name="O_944956"/>
      <w:bookmarkEnd w:id="4"/>
      <w:r w:rsidRPr="000E3702">
        <w:t>Competency Field</w:t>
      </w:r>
    </w:p>
    <w:p w:rsidR="00000000" w:rsidRPr="000E3702" w:rsidP="00E23849">
      <w:pPr>
        <w:pStyle w:val="BodyText"/>
      </w:pPr>
      <w:r w:rsidRPr="000E3702">
        <w:t>Engineering science</w:t>
      </w:r>
    </w:p>
    <w:p w:rsidR="00000000" w:rsidRPr="000E3702" w:rsidP="000E3702">
      <w:pPr>
        <w:pStyle w:val="Heading1"/>
      </w:pPr>
      <w:bookmarkStart w:id="5" w:name="O_944954"/>
      <w:bookmarkEnd w:id="5"/>
      <w:r w:rsidRPr="000E37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E238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BodyText"/>
            </w:pPr>
            <w:r w:rsidRPr="000E370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rPr>
                <w:rStyle w:val="SpecialBold"/>
              </w:rPr>
              <w:t>Performance Criteria</w:t>
            </w:r>
          </w:p>
        </w:tc>
      </w:tr>
      <w:tr w:rsidTr="00E238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BodyText"/>
            </w:pPr>
            <w:r w:rsidRPr="000E3702">
              <w:rPr>
                <w:rStyle w:val="Emphasis"/>
              </w:rPr>
              <w:t xml:space="preserve">Elements describe the </w:t>
            </w:r>
            <w:r w:rsidRPr="000E3702">
              <w:t xml:space="preserve">essential </w:t>
            </w:r>
            <w:r w:rsidRPr="000E370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38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1. Clarify client brief or contract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BodyText"/>
            </w:pPr>
            <w:r w:rsidRPr="000E3702">
              <w:t>1.1 Establish the required features and functions of the application and establish control requirements in con</w:t>
            </w:r>
            <w:r w:rsidRPr="000E3702">
              <w:t>sultation with the client</w:t>
            </w:r>
          </w:p>
          <w:p w:rsidR="00000000" w:rsidRPr="000E3702" w:rsidP="000E3702">
            <w:pPr>
              <w:pStyle w:val="BodyText"/>
            </w:pPr>
            <w:r w:rsidRPr="000E3702">
              <w:t>1.2 Determine technical, commercial and environmental parameters of the brief or contract</w:t>
            </w:r>
          </w:p>
          <w:p w:rsidR="00000000" w:rsidRPr="000E3702" w:rsidP="000E3702">
            <w:pPr>
              <w:pStyle w:val="BodyText"/>
            </w:pPr>
            <w:r w:rsidRPr="000E3702">
              <w:t>1.3 Determine stakeholders to be consulted in the design and application process</w:t>
            </w:r>
          </w:p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 xml:space="preserve">1.4 Provide initial advice to client on the feasibility of </w:t>
            </w:r>
            <w:r w:rsidRPr="000E3702">
              <w:t>the project</w:t>
            </w:r>
          </w:p>
        </w:tc>
      </w:tr>
      <w:tr w:rsidTr="00E238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2. Prepare concept proposal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BodyText"/>
            </w:pPr>
            <w:r w:rsidRPr="000E3702">
              <w:t>2.1 Carry out initial investigations and measurements</w:t>
            </w:r>
          </w:p>
          <w:p w:rsidR="00000000" w:rsidRPr="000E3702" w:rsidP="000E3702">
            <w:pPr>
              <w:pStyle w:val="BodyText"/>
            </w:pPr>
            <w:r w:rsidRPr="000E3702">
              <w:t>2.2 Carry out required modelling or simulations and calculations using appropriate software and validation techniques</w:t>
            </w:r>
          </w:p>
          <w:p w:rsidR="00000000" w:rsidRPr="000E3702" w:rsidP="000E3702">
            <w:pPr>
              <w:pStyle w:val="BodyText"/>
            </w:pPr>
            <w:r w:rsidRPr="000E3702">
              <w:t>2.3 Generate PLC ap</w:t>
            </w:r>
            <w:r w:rsidRPr="000E3702">
              <w:t>plication solutions that respond to the brief</w:t>
            </w:r>
          </w:p>
          <w:p w:rsidR="00000000" w:rsidRPr="000E3702" w:rsidP="000E3702">
            <w:pPr>
              <w:pStyle w:val="BodyText"/>
            </w:pPr>
            <w:r w:rsidRPr="000E3702">
              <w:t>2.4 Check feasibility and evaluate solutions against design criteria, ensuring conformity to WHS, regulatory, sustainability and environmental requirements</w:t>
            </w:r>
          </w:p>
          <w:p w:rsidR="00000000" w:rsidRPr="000E3702" w:rsidP="000E3702">
            <w:pPr>
              <w:pStyle w:val="BodyText"/>
            </w:pPr>
            <w:r w:rsidRPr="000E3702">
              <w:t>2.5 Prepare a PLC proposal that can include results of</w:t>
            </w:r>
            <w:r w:rsidRPr="000E3702">
              <w:t xml:space="preserve"> feasibility study, consideration of expert opinion, initial calculations and modelling, and the use of judgment and discretion</w:t>
            </w:r>
          </w:p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2.6 Review concept proposal with client and select preferred solution</w:t>
            </w:r>
          </w:p>
        </w:tc>
      </w:tr>
      <w:tr w:rsidTr="00E238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3. Design PLC control application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BodyText"/>
            </w:pPr>
            <w:r w:rsidRPr="000E3702">
              <w:t>3.1 Finalise selected c</w:t>
            </w:r>
            <w:r w:rsidRPr="000E3702">
              <w:t>ontrol application design to meet design brief</w:t>
            </w:r>
          </w:p>
          <w:p w:rsidR="00000000" w:rsidRPr="000E3702" w:rsidP="000E3702">
            <w:pPr>
              <w:pStyle w:val="BodyText"/>
            </w:pPr>
            <w:r w:rsidRPr="000E3702">
              <w:t>3.2 Provide documentation, drawings, specifications and instructions</w:t>
            </w:r>
          </w:p>
          <w:p w:rsidR="00000000" w:rsidRPr="000E3702" w:rsidP="000E3702">
            <w:pPr>
              <w:pStyle w:val="BodyText"/>
            </w:pPr>
            <w:r w:rsidRPr="000E3702">
              <w:t>3.3 Consult with client and stakeholders to obtain sign-off on design</w:t>
            </w:r>
          </w:p>
          <w:p w:rsidR="00000000" w:rsidRPr="000E3702" w:rsidP="000E3702">
            <w:pPr>
              <w:pStyle w:val="BodyText"/>
            </w:pPr>
            <w:r w:rsidRPr="000E3702">
              <w:t>3.4 Monitor installation and commissioning with stakeholders, and make</w:t>
            </w:r>
            <w:r w:rsidRPr="000E3702">
              <w:t xml:space="preserve"> any necessary modifications</w:t>
            </w:r>
          </w:p>
        </w:tc>
      </w:tr>
    </w:tbl>
    <w:p w:rsidR="00000000" w:rsidRPr="000E3702" w:rsidP="000E3702">
      <w:pPr>
        <w:pStyle w:val="BodyText"/>
      </w:pPr>
    </w:p>
    <w:p w:rsidR="00000000" w:rsidRPr="000E3702" w:rsidP="000E3702">
      <w:pPr>
        <w:pStyle w:val="AllowPageBreak"/>
      </w:pPr>
    </w:p>
    <w:p w:rsidR="00000000" w:rsidRPr="000E3702" w:rsidP="000E3702">
      <w:pPr>
        <w:pStyle w:val="Heading1"/>
      </w:pPr>
      <w:bookmarkStart w:id="6" w:name="O_944953"/>
      <w:bookmarkEnd w:id="6"/>
      <w:r w:rsidRPr="000E3702">
        <w:t>Foundation Skills</w:t>
      </w:r>
    </w:p>
    <w:p w:rsidR="00000000" w:rsidRPr="000E3702" w:rsidP="00E23849">
      <w:pPr>
        <w:pStyle w:val="BodyText"/>
      </w:pPr>
      <w:r w:rsidRPr="000E3702">
        <w:t>This section describes those language, literacy, numeracy and employment skills that are essential to performance.</w:t>
      </w:r>
    </w:p>
    <w:p w:rsidR="00000000" w:rsidRPr="000E3702" w:rsidP="00E23849">
      <w:pPr>
        <w:pStyle w:val="BodyText"/>
      </w:pPr>
      <w:r w:rsidRPr="000E3702">
        <w:t xml:space="preserve">Foundation skills essential to performance are explicit in the performance </w:t>
      </w:r>
      <w:r w:rsidRPr="000E3702">
        <w:t>criteria of this unit of competency.</w:t>
      </w:r>
    </w:p>
    <w:p w:rsidR="00000000" w:rsidRPr="000E3702" w:rsidP="000E3702">
      <w:pPr>
        <w:pStyle w:val="Heading1"/>
      </w:pPr>
      <w:bookmarkStart w:id="7" w:name="O_944952"/>
      <w:bookmarkEnd w:id="7"/>
      <w:r w:rsidRPr="000E370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E37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This field allows for different work environments and conditions that may affect performance. Essential operating conditions that may be present (depending on the work situation, ne</w:t>
            </w:r>
            <w:r w:rsidRPr="000E3702">
              <w:t>eds of the candidate, accessibility of the item, and local industry and regional contexts) are included.</w:t>
            </w:r>
          </w:p>
        </w:tc>
      </w:tr>
      <w:tr w:rsidTr="000E37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Parameters of the brief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ListBullet"/>
            </w:pPr>
            <w:r w:rsidRPr="000E3702">
              <w:t>design of new equipment or fault analysis, rectification or modification to an existing design</w:t>
            </w:r>
          </w:p>
          <w:p w:rsidR="00000000" w:rsidRPr="000E3702" w:rsidP="000E3702">
            <w:pPr>
              <w:pStyle w:val="ListBullet"/>
            </w:pPr>
            <w:r w:rsidRPr="000E3702">
              <w:t>determination of the degree of innovation and creativity expected by the client</w:t>
            </w:r>
          </w:p>
          <w:p w:rsidR="00000000" w:rsidRPr="000E3702" w:rsidP="000E3702">
            <w:pPr>
              <w:pStyle w:val="ListBullet"/>
            </w:pPr>
            <w:r w:rsidRPr="000E3702">
              <w:t>design process limits and budgets</w:t>
            </w:r>
          </w:p>
          <w:p w:rsidR="00000000" w:rsidRPr="000E3702" w:rsidP="000E3702">
            <w:pPr>
              <w:pStyle w:val="ListBullet"/>
            </w:pPr>
            <w:r w:rsidRPr="000E3702">
              <w:t>product cost limits and budgets</w:t>
            </w:r>
          </w:p>
          <w:p w:rsidR="00000000" w:rsidRPr="000E3702" w:rsidP="000E3702">
            <w:pPr>
              <w:pStyle w:val="ListBullet"/>
            </w:pPr>
            <w:r w:rsidRPr="000E3702">
              <w:t>performance specifications</w:t>
            </w:r>
          </w:p>
          <w:p w:rsidR="00000000" w:rsidRPr="000E3702" w:rsidP="000E3702">
            <w:pPr>
              <w:pStyle w:val="ListBullet"/>
            </w:pPr>
            <w:r w:rsidRPr="000E3702">
              <w:t>equipment availability, capacities and restrictions</w:t>
            </w:r>
          </w:p>
          <w:p w:rsidR="00000000" w:rsidRPr="000E3702" w:rsidP="000E3702">
            <w:pPr>
              <w:pStyle w:val="ListBullet"/>
            </w:pPr>
            <w:r w:rsidRPr="000E3702">
              <w:t>specified administrative, commu</w:t>
            </w:r>
            <w:r w:rsidRPr="000E3702">
              <w:t>nication and approval procedures</w:t>
            </w:r>
          </w:p>
          <w:p w:rsidR="00000000" w:rsidP="000E3702">
            <w:pPr>
              <w:pStyle w:val="ListBullet"/>
              <w:rPr>
                <w:lang w:val="en-NZ"/>
              </w:rPr>
            </w:pPr>
            <w:r w:rsidRPr="000E3702">
              <w:t>other special features and limits in the design brief.</w:t>
            </w:r>
          </w:p>
        </w:tc>
      </w:tr>
      <w:tr w:rsidTr="000E37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PLC solutions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ListBullet"/>
            </w:pPr>
            <w:r w:rsidRPr="000E3702">
              <w:t>input/output (I/O) capacity</w:t>
            </w:r>
          </w:p>
          <w:p w:rsidR="00000000" w:rsidRPr="000E3702" w:rsidP="000E3702">
            <w:pPr>
              <w:pStyle w:val="ListBullet"/>
            </w:pPr>
            <w:r w:rsidRPr="000E3702">
              <w:t>I/O module types:</w:t>
            </w:r>
          </w:p>
          <w:p w:rsidR="00000000" w:rsidRPr="000E3702" w:rsidP="000E3702">
            <w:pPr>
              <w:pStyle w:val="ListBullet2"/>
            </w:pPr>
            <w:r w:rsidRPr="000E3702">
              <w:t>discrete</w:t>
            </w:r>
          </w:p>
          <w:p w:rsidR="00000000" w:rsidRPr="000E3702" w:rsidP="000E3702">
            <w:pPr>
              <w:pStyle w:val="ListBullet2"/>
            </w:pPr>
            <w:r w:rsidRPr="000E3702">
              <w:t>special</w:t>
            </w:r>
          </w:p>
          <w:p w:rsidR="00000000" w:rsidRPr="000E3702" w:rsidP="000E3702">
            <w:pPr>
              <w:pStyle w:val="ListBullet"/>
            </w:pPr>
            <w:r w:rsidRPr="000E3702">
              <w:t>signal conditioning</w:t>
            </w:r>
          </w:p>
          <w:p w:rsidR="00000000" w:rsidRPr="000E3702" w:rsidP="000E3702">
            <w:pPr>
              <w:pStyle w:val="ListBullet"/>
            </w:pPr>
            <w:r w:rsidRPr="000E3702">
              <w:t>interface requirements</w:t>
            </w:r>
          </w:p>
          <w:p w:rsidR="00000000" w:rsidRPr="000E3702" w:rsidP="000E3702">
            <w:pPr>
              <w:pStyle w:val="ListBullet"/>
            </w:pPr>
            <w:r w:rsidRPr="000E3702">
              <w:t>control functions</w:t>
            </w:r>
          </w:p>
          <w:p w:rsidR="00000000" w:rsidRPr="000E3702" w:rsidP="000E3702">
            <w:pPr>
              <w:pStyle w:val="ListBullet"/>
            </w:pPr>
            <w:r w:rsidRPr="000E3702">
              <w:t>system integration</w:t>
            </w:r>
          </w:p>
          <w:p w:rsidR="00000000" w:rsidRPr="000E3702" w:rsidP="000E3702">
            <w:pPr>
              <w:pStyle w:val="ListBullet"/>
            </w:pPr>
            <w:r w:rsidRPr="000E3702">
              <w:t>communication protocols</w:t>
            </w:r>
          </w:p>
          <w:p w:rsidR="00000000" w:rsidRPr="000E3702" w:rsidP="000E3702">
            <w:pPr>
              <w:pStyle w:val="ListBullet"/>
            </w:pPr>
            <w:r w:rsidRPr="000E3702">
              <w:t xml:space="preserve">automation safety </w:t>
            </w:r>
          </w:p>
          <w:p w:rsidR="00000000" w:rsidRPr="000E3702" w:rsidP="000E3702">
            <w:pPr>
              <w:pStyle w:val="ListBullet"/>
            </w:pPr>
            <w:r w:rsidRPr="000E3702">
              <w:t xml:space="preserve">network topology </w:t>
            </w:r>
          </w:p>
          <w:p w:rsidR="00000000" w:rsidP="000E3702">
            <w:pPr>
              <w:pStyle w:val="ListBullet"/>
              <w:rPr>
                <w:lang w:val="en-NZ"/>
              </w:rPr>
            </w:pPr>
            <w:r w:rsidRPr="000E3702">
              <w:t>programming languages.</w:t>
            </w:r>
          </w:p>
        </w:tc>
      </w:tr>
      <w:tr w:rsidTr="000E37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Applications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ListBullet"/>
            </w:pPr>
            <w:r w:rsidRPr="000E3702">
              <w:t>control of machines, equipment or processes that can have thermodynamic, hydrodynamic, fluid power or mechanical system elements</w:t>
            </w:r>
          </w:p>
          <w:p w:rsidR="00000000" w:rsidRPr="000E3702" w:rsidP="000E3702">
            <w:pPr>
              <w:pStyle w:val="ListBullet"/>
            </w:pPr>
            <w:r w:rsidRPr="000E3702">
              <w:t>control functions:</w:t>
            </w:r>
          </w:p>
          <w:p w:rsidR="00000000" w:rsidRPr="000E3702" w:rsidP="000E3702">
            <w:pPr>
              <w:pStyle w:val="ListBullet2"/>
            </w:pPr>
            <w:r w:rsidRPr="000E3702">
              <w:t xml:space="preserve">digital </w:t>
            </w:r>
          </w:p>
          <w:p w:rsidR="00000000" w:rsidRPr="000E3702" w:rsidP="000E3702">
            <w:pPr>
              <w:pStyle w:val="ListBullet2"/>
            </w:pPr>
            <w:r w:rsidRPr="000E3702">
              <w:t xml:space="preserve">analog </w:t>
            </w:r>
          </w:p>
          <w:p w:rsidR="00000000" w:rsidRPr="000E3702" w:rsidP="000E3702">
            <w:pPr>
              <w:pStyle w:val="ListBullet2"/>
            </w:pPr>
            <w:r w:rsidRPr="000E3702">
              <w:t>feedback loops</w:t>
            </w:r>
          </w:p>
          <w:p w:rsidR="00000000" w:rsidP="000E3702">
            <w:pPr>
              <w:pStyle w:val="ListBullet"/>
              <w:rPr>
                <w:lang w:val="en-NZ"/>
              </w:rPr>
            </w:pPr>
            <w:r w:rsidRPr="000E3702">
              <w:t>communications networks and remote control.</w:t>
            </w:r>
          </w:p>
        </w:tc>
      </w:tr>
      <w:tr w:rsidTr="000E37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702">
            <w:pPr>
              <w:pStyle w:val="BodyText"/>
              <w:rPr>
                <w:lang w:val="en-NZ"/>
              </w:rPr>
            </w:pPr>
            <w:r w:rsidRPr="000E3702">
              <w:t>WHS, regulatory, sustainability and environmental issues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702" w:rsidP="000E3702">
            <w:pPr>
              <w:pStyle w:val="ListBullet"/>
            </w:pPr>
            <w:r w:rsidRPr="000E3702">
              <w:t>WHS acts and regulations and relevant standards</w:t>
            </w:r>
          </w:p>
          <w:p w:rsidR="00000000" w:rsidRPr="000E3702" w:rsidP="000E3702">
            <w:pPr>
              <w:pStyle w:val="ListBullet"/>
            </w:pPr>
            <w:r w:rsidRPr="000E3702">
              <w:t>industry codes of practice</w:t>
            </w:r>
          </w:p>
          <w:p w:rsidR="00000000" w:rsidRPr="000E3702" w:rsidP="000E3702">
            <w:pPr>
              <w:pStyle w:val="ListBullet"/>
            </w:pPr>
            <w:r w:rsidRPr="000E3702">
              <w:t>risk assessments</w:t>
            </w:r>
          </w:p>
          <w:p w:rsidR="00000000" w:rsidRPr="000E3702" w:rsidP="000E3702">
            <w:pPr>
              <w:pStyle w:val="ListBullet"/>
            </w:pPr>
            <w:r w:rsidRPr="000E3702">
              <w:t xml:space="preserve">registration requirements </w:t>
            </w:r>
          </w:p>
          <w:p w:rsidR="00000000" w:rsidRPr="000E3702" w:rsidP="000E3702">
            <w:pPr>
              <w:pStyle w:val="ListBullet"/>
            </w:pPr>
            <w:r w:rsidRPr="000E3702">
              <w:t>safe work practices</w:t>
            </w:r>
          </w:p>
          <w:p w:rsidR="00000000" w:rsidRPr="000E3702" w:rsidP="000E3702">
            <w:pPr>
              <w:pStyle w:val="ListBullet"/>
            </w:pPr>
            <w:r w:rsidRPr="000E3702">
              <w:t>minimising ecological and environmental footprint of process, plant and product</w:t>
            </w:r>
          </w:p>
          <w:p w:rsidR="00000000" w:rsidRPr="000E3702" w:rsidP="000E3702">
            <w:pPr>
              <w:pStyle w:val="ListBullet"/>
            </w:pPr>
            <w:r w:rsidRPr="000E3702">
              <w:t xml:space="preserve">maximising economic benefit of process plant and product to the organisation and the community </w:t>
            </w:r>
          </w:p>
          <w:p w:rsidR="00000000" w:rsidRPr="000E3702" w:rsidP="000E3702">
            <w:pPr>
              <w:pStyle w:val="ListBullet"/>
            </w:pPr>
            <w:r w:rsidRPr="000E3702">
              <w:t>minimising the negative WHS impact on employees, community and customer</w:t>
            </w:r>
          </w:p>
          <w:p w:rsidR="00000000" w:rsidRPr="000E3702" w:rsidP="000E3702">
            <w:pPr>
              <w:pStyle w:val="ListBullet"/>
            </w:pPr>
            <w:r w:rsidRPr="000E3702">
              <w:t>state and territory regulatory requirements.</w:t>
            </w:r>
          </w:p>
        </w:tc>
      </w:tr>
    </w:tbl>
    <w:p w:rsidR="00000000" w:rsidRPr="000E3702" w:rsidP="000E3702">
      <w:pPr>
        <w:pStyle w:val="BodyText"/>
      </w:pPr>
    </w:p>
    <w:p w:rsidR="00000000" w:rsidRPr="000E3702" w:rsidP="000E3702">
      <w:pPr>
        <w:pStyle w:val="AllowPageBreak"/>
      </w:pPr>
    </w:p>
    <w:p w:rsidR="00000000" w:rsidRPr="000E3702" w:rsidP="000E3702">
      <w:pPr>
        <w:pStyle w:val="Heading1"/>
      </w:pPr>
      <w:bookmarkStart w:id="8" w:name="O_944951"/>
      <w:bookmarkEnd w:id="8"/>
      <w:r w:rsidRPr="000E3702">
        <w:t>Unit Mapping Information</w:t>
      </w:r>
    </w:p>
    <w:p w:rsidR="00000000" w:rsidRPr="000E3702" w:rsidP="00E23849">
      <w:pPr>
        <w:pStyle w:val="BodyText"/>
      </w:pPr>
      <w:r w:rsidRPr="000E3702">
        <w:t>Release 1. Supersedes and is equivalent to MEM234011A Design programmable logic controller appl</w:t>
      </w:r>
      <w:r w:rsidRPr="000E3702">
        <w:t>ications.</w:t>
      </w:r>
    </w:p>
    <w:p w:rsidR="00000000" w:rsidRPr="000E3702" w:rsidP="000E3702">
      <w:pPr>
        <w:pStyle w:val="Heading1"/>
      </w:pPr>
      <w:bookmarkStart w:id="9" w:name="O_944944"/>
      <w:bookmarkEnd w:id="9"/>
      <w:r w:rsidRPr="000E3702">
        <w:t>Links</w:t>
      </w:r>
    </w:p>
    <w:p w:rsidR="00000000" w:rsidRPr="000E3702" w:rsidP="00E23849">
      <w:pPr>
        <w:pStyle w:val="BodyText"/>
      </w:pPr>
      <w:r w:rsidRPr="000E3702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7A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E3702" w:rsidP="000E3702"/>
    <w:sectPr w:rsidSect="000E37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02" w:rsidRPr="00E23849" w:rsidP="00E2384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49" w:rsidP="000E37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849" w:rsidP="000E37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3849" w:rsidP="000E37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702" w:rsidRPr="00E23849" w:rsidP="00E23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849" w:rsidRPr="002D2AF8" w:rsidP="000E37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MEM234011 Design programmable logic controller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3849" w:rsidP="000E37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5CB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E4A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6A8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7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7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7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7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7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7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7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7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7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7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7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702"/>
  </w:style>
  <w:style w:type="character" w:customStyle="1" w:styleId="Heading1Char">
    <w:name w:val="Heading 1 Char"/>
    <w:basedOn w:val="DefaultParagraphFont"/>
    <w:link w:val="Heading1"/>
    <w:rsid w:val="000E37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7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7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7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702"/>
    <w:rPr>
      <w:b/>
      <w:spacing w:val="0"/>
    </w:rPr>
  </w:style>
  <w:style w:type="paragraph" w:styleId="ListBullet2">
    <w:name w:val="List Bullet 2"/>
    <w:basedOn w:val="List2"/>
    <w:rsid w:val="000E37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3702"/>
    <w:rPr>
      <w:i/>
    </w:rPr>
  </w:style>
  <w:style w:type="paragraph" w:customStyle="1" w:styleId="SuperHeading">
    <w:name w:val="SuperHeading"/>
    <w:basedOn w:val="Normal"/>
    <w:rsid w:val="000E37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7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7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7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7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7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7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7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7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7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7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7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7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7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7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7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7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7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7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7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7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7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7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7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7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7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7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7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7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7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7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7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37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7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7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702"/>
  </w:style>
  <w:style w:type="paragraph" w:styleId="TableofFigures">
    <w:name w:val="table of figures"/>
    <w:basedOn w:val="Normal"/>
    <w:next w:val="Normal"/>
    <w:semiHidden/>
    <w:rsid w:val="000E37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7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702"/>
    <w:rPr>
      <w:rFonts w:ascii="Wingdings" w:hAnsi="Wingdings"/>
    </w:rPr>
  </w:style>
  <w:style w:type="paragraph" w:customStyle="1" w:styleId="TableHeading">
    <w:name w:val="Table Heading"/>
    <w:basedOn w:val="HeadingBase"/>
    <w:rsid w:val="000E37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702"/>
    <w:rPr>
      <w:color w:val="0033CC"/>
      <w:u w:val="none"/>
    </w:rPr>
  </w:style>
  <w:style w:type="paragraph" w:customStyle="1" w:styleId="BodyTextRight">
    <w:name w:val="Body Text Right"/>
    <w:basedOn w:val="BodyText"/>
    <w:rsid w:val="000E37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7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7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7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7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7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702"/>
    <w:rPr>
      <w:sz w:val="32"/>
    </w:rPr>
  </w:style>
  <w:style w:type="paragraph" w:customStyle="1" w:styleId="HeadingProcedure">
    <w:name w:val="Heading Procedure"/>
    <w:basedOn w:val="HeadingBase"/>
    <w:next w:val="Normal"/>
    <w:rsid w:val="000E37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702"/>
    <w:pPr>
      <w:spacing w:before="60" w:after="60"/>
    </w:pPr>
  </w:style>
  <w:style w:type="paragraph" w:styleId="ListContinue">
    <w:name w:val="List Continue"/>
    <w:basedOn w:val="List"/>
    <w:rsid w:val="000E3702"/>
    <w:pPr>
      <w:ind w:firstLine="0"/>
    </w:pPr>
  </w:style>
  <w:style w:type="paragraph" w:customStyle="1" w:styleId="ListNote">
    <w:name w:val="List Note"/>
    <w:basedOn w:val="List"/>
    <w:rsid w:val="000E37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7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7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702"/>
    <w:rPr>
      <w:rFonts w:ascii="Courier New" w:hAnsi="Courier New"/>
    </w:rPr>
  </w:style>
  <w:style w:type="paragraph" w:customStyle="1" w:styleId="NoteBullet">
    <w:name w:val="Note Bullet"/>
    <w:basedOn w:val="Note"/>
    <w:rsid w:val="000E37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7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7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7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7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7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7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702"/>
    <w:rPr>
      <w:b/>
      <w:smallCaps/>
    </w:rPr>
  </w:style>
  <w:style w:type="paragraph" w:customStyle="1" w:styleId="TableListNumber">
    <w:name w:val="Table List Number"/>
    <w:basedOn w:val="ListNumber"/>
    <w:rsid w:val="000E37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7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702"/>
    <w:pPr>
      <w:numPr>
        <w:numId w:val="9"/>
      </w:numPr>
    </w:pPr>
  </w:style>
  <w:style w:type="paragraph" w:customStyle="1" w:styleId="ListAlpha2">
    <w:name w:val="List Alpha 2"/>
    <w:basedOn w:val="List2"/>
    <w:rsid w:val="000E3702"/>
    <w:pPr>
      <w:numPr>
        <w:numId w:val="8"/>
      </w:numPr>
    </w:pPr>
  </w:style>
  <w:style w:type="paragraph" w:styleId="List2">
    <w:name w:val="List 2"/>
    <w:basedOn w:val="BodyText"/>
    <w:rsid w:val="000E37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7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7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7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7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7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702"/>
    <w:pPr>
      <w:numPr>
        <w:numId w:val="4"/>
      </w:numPr>
    </w:pPr>
  </w:style>
  <w:style w:type="paragraph" w:styleId="ListContinue2">
    <w:name w:val="List Continue 2"/>
    <w:basedOn w:val="List2"/>
    <w:rsid w:val="000E3702"/>
    <w:pPr>
      <w:ind w:firstLine="0"/>
    </w:pPr>
  </w:style>
  <w:style w:type="paragraph" w:styleId="ListContinue3">
    <w:name w:val="List Continue 3"/>
    <w:basedOn w:val="List3"/>
    <w:rsid w:val="000E3702"/>
    <w:pPr>
      <w:ind w:left="1021" w:firstLine="0"/>
    </w:pPr>
  </w:style>
  <w:style w:type="paragraph" w:styleId="ListContinue4">
    <w:name w:val="List Continue 4"/>
    <w:basedOn w:val="List4"/>
    <w:rsid w:val="000E3702"/>
    <w:pPr>
      <w:ind w:firstLine="0"/>
    </w:pPr>
  </w:style>
  <w:style w:type="paragraph" w:styleId="ListContinue5">
    <w:name w:val="List Continue 5"/>
    <w:basedOn w:val="List5"/>
    <w:rsid w:val="000E3702"/>
    <w:pPr>
      <w:ind w:firstLine="0"/>
    </w:pPr>
  </w:style>
  <w:style w:type="paragraph" w:styleId="ListNumber3">
    <w:name w:val="List Number 3"/>
    <w:basedOn w:val="List3"/>
    <w:rsid w:val="000E3702"/>
    <w:pPr>
      <w:numPr>
        <w:numId w:val="5"/>
      </w:numPr>
    </w:pPr>
  </w:style>
  <w:style w:type="paragraph" w:styleId="ListNumber4">
    <w:name w:val="List Number 4"/>
    <w:basedOn w:val="List4"/>
    <w:rsid w:val="000E3702"/>
    <w:pPr>
      <w:numPr>
        <w:numId w:val="6"/>
      </w:numPr>
    </w:pPr>
  </w:style>
  <w:style w:type="paragraph" w:styleId="ListNumber5">
    <w:name w:val="List Number 5"/>
    <w:basedOn w:val="List5"/>
    <w:rsid w:val="000E3702"/>
    <w:pPr>
      <w:numPr>
        <w:numId w:val="7"/>
      </w:numPr>
    </w:pPr>
  </w:style>
  <w:style w:type="paragraph" w:styleId="BlockText">
    <w:name w:val="Block Text"/>
    <w:basedOn w:val="Normal"/>
    <w:rsid w:val="000E37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7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702"/>
    <w:rPr>
      <w:sz w:val="16"/>
      <w:vertAlign w:val="superscript"/>
    </w:rPr>
  </w:style>
  <w:style w:type="character" w:customStyle="1" w:styleId="Symbols">
    <w:name w:val="Symbols"/>
    <w:basedOn w:val="DefaultParagraphFont"/>
    <w:rsid w:val="000E3702"/>
    <w:rPr>
      <w:rFonts w:ascii="Symbol" w:hAnsi="Symbol"/>
    </w:rPr>
  </w:style>
  <w:style w:type="character" w:customStyle="1" w:styleId="MenuOptions">
    <w:name w:val="Menu Options"/>
    <w:basedOn w:val="DefaultParagraphFont"/>
    <w:rsid w:val="000E37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702"/>
    <w:rPr>
      <w:b/>
    </w:rPr>
  </w:style>
  <w:style w:type="character" w:customStyle="1" w:styleId="Underlined">
    <w:name w:val="Underlined"/>
    <w:basedOn w:val="DefaultParagraphFont"/>
    <w:rsid w:val="000E3702"/>
    <w:rPr>
      <w:u w:val="single"/>
    </w:rPr>
  </w:style>
  <w:style w:type="paragraph" w:customStyle="1" w:styleId="TableBodyTextRight">
    <w:name w:val="Table Body Text Right"/>
    <w:basedOn w:val="TableBodyText"/>
    <w:rsid w:val="000E37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702"/>
    <w:rPr>
      <w:sz w:val="18"/>
    </w:rPr>
  </w:style>
  <w:style w:type="paragraph" w:customStyle="1" w:styleId="BodySmallRight">
    <w:name w:val="Body Small Right"/>
    <w:basedOn w:val="BodyTextRight"/>
    <w:rsid w:val="000E3702"/>
    <w:rPr>
      <w:sz w:val="18"/>
      <w:szCs w:val="18"/>
    </w:rPr>
  </w:style>
  <w:style w:type="paragraph" w:customStyle="1" w:styleId="MarginEdition">
    <w:name w:val="Margin Edition"/>
    <w:basedOn w:val="MarginNote"/>
    <w:rsid w:val="000E37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702"/>
    <w:rPr>
      <w:sz w:val="2"/>
      <w:szCs w:val="2"/>
    </w:rPr>
  </w:style>
  <w:style w:type="character" w:customStyle="1" w:styleId="Small">
    <w:name w:val="Small"/>
    <w:basedOn w:val="DefaultParagraphFont"/>
    <w:rsid w:val="000E3702"/>
    <w:rPr>
      <w:sz w:val="16"/>
    </w:rPr>
  </w:style>
  <w:style w:type="paragraph" w:customStyle="1" w:styleId="WideTable">
    <w:name w:val="Wide Table"/>
    <w:basedOn w:val="Normal"/>
    <w:rsid w:val="000E37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702"/>
  </w:style>
  <w:style w:type="paragraph" w:styleId="Quote">
    <w:name w:val="Quote"/>
    <w:basedOn w:val="Heading1"/>
    <w:link w:val="QuoteChar"/>
    <w:qFormat/>
    <w:rsid w:val="000E37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7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702"/>
    <w:pPr>
      <w:pageBreakBefore/>
    </w:pPr>
  </w:style>
  <w:style w:type="paragraph" w:customStyle="1" w:styleId="Border">
    <w:name w:val="Border"/>
    <w:basedOn w:val="Normal"/>
    <w:qFormat/>
    <w:rsid w:val="000E37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7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7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7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7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7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7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7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7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702"/>
    <w:rPr>
      <w:u w:val="single"/>
    </w:rPr>
  </w:style>
  <w:style w:type="character" w:customStyle="1" w:styleId="BoldandItalics">
    <w:name w:val="Bold and Italics"/>
    <w:qFormat/>
    <w:rsid w:val="000E3702"/>
    <w:rPr>
      <w:b/>
      <w:i/>
      <w:u w:val="none"/>
    </w:rPr>
  </w:style>
  <w:style w:type="paragraph" w:styleId="BalloonText">
    <w:name w:val="Balloon Text"/>
    <w:basedOn w:val="Normal"/>
    <w:link w:val="BalloonTextChar"/>
    <w:rsid w:val="000E3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7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7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7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7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7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702"/>
    <w:pPr>
      <w:spacing w:before="0" w:after="0"/>
    </w:pPr>
  </w:style>
  <w:style w:type="paragraph" w:customStyle="1" w:styleId="BodyTextBold">
    <w:name w:val="Body Text Bold"/>
    <w:basedOn w:val="BodyText"/>
    <w:qFormat/>
    <w:rsid w:val="000E3702"/>
    <w:rPr>
      <w:b/>
    </w:rPr>
  </w:style>
  <w:style w:type="character" w:styleId="Hyperlink">
    <w:name w:val="Hyperlink"/>
    <w:basedOn w:val="DefaultParagraphFont"/>
    <w:uiPriority w:val="99"/>
    <w:unhideWhenUsed/>
    <w:rsid w:val="00E23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760</Words>
  <Characters>5101</Characters>
  <Application>Microsoft Office Word</Application>
  <DocSecurity>0</DocSecurity>
  <Lines>150</Lines>
  <Paragraphs>101</Paragraphs>
  <ScaleCrop>false</ScaleCrop>
  <Company>Author-it Software Corporation Ltd.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MEM234011 Design programmable logic controller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2023-02-03T06:52:00Z</dcterms:modified>
</cp:coreProperties>
</file>