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96F" w:rsidP="003D1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MEM234010 Design microcontroller applications</w:t>
      </w:r>
      <w:r>
        <w:fldChar w:fldCharType="end"/>
      </w:r>
    </w:p>
    <w:p w:rsidR="003D196F" w:rsidP="003D196F">
      <w:pPr>
        <w:pStyle w:val="Version"/>
        <w:sectPr w:rsidSect="00E83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233" w:rsidP="00E83233">
      <w:pPr>
        <w:pStyle w:val="SuperHeading"/>
      </w:pPr>
      <w:r w:rsidRPr="00E83233">
        <w:t>Assessment Requirements for MEM234010 Design microcontroller applications</w:t>
      </w:r>
    </w:p>
    <w:p w:rsidR="00000000" w:rsidRPr="00E83233" w:rsidP="00E83233">
      <w:pPr>
        <w:pStyle w:val="Heading1"/>
      </w:pPr>
      <w:bookmarkStart w:id="1" w:name="O_944927"/>
      <w:bookmarkEnd w:id="1"/>
      <w:r w:rsidRPr="00E83233">
        <w:t>Modification History</w:t>
      </w:r>
    </w:p>
    <w:p w:rsidR="00000000" w:rsidRPr="00E83233" w:rsidP="003D196F">
      <w:pPr>
        <w:pStyle w:val="BodyText"/>
      </w:pPr>
      <w:r w:rsidRPr="00E83233">
        <w:t>Release 1. Supersedes and is equivalent to MEM234010A Design microcontroller applications.</w:t>
      </w:r>
    </w:p>
    <w:p w:rsidR="00000000" w:rsidRPr="00E83233" w:rsidP="00E83233">
      <w:pPr>
        <w:pStyle w:val="Heading1"/>
      </w:pPr>
      <w:bookmarkStart w:id="2" w:name="O_944930"/>
      <w:bookmarkEnd w:id="2"/>
      <w:r w:rsidRPr="00E83233">
        <w:t>Performance Evidence</w:t>
      </w:r>
    </w:p>
    <w:p w:rsidR="00000000" w:rsidRPr="00E83233" w:rsidP="003D196F">
      <w:pPr>
        <w:pStyle w:val="BodyText"/>
      </w:pPr>
      <w:r w:rsidRPr="00E83233">
        <w:t>Evidence required to demonstrate competence in this unit must be relevant to and satisfy the requirements of the elements and performance criteria and include:</w:t>
      </w:r>
    </w:p>
    <w:p w:rsidR="00000000" w:rsidRPr="00E83233" w:rsidP="00E83233">
      <w:pPr>
        <w:pStyle w:val="ListBullet"/>
      </w:pPr>
      <w:r w:rsidRPr="00E83233">
        <w:t>interpreting features and functions of the application and parameters of the brief or contract</w:t>
      </w:r>
    </w:p>
    <w:p w:rsidR="00000000" w:rsidRPr="00E83233" w:rsidP="00E83233">
      <w:pPr>
        <w:pStyle w:val="ListBullet"/>
      </w:pPr>
      <w:r w:rsidRPr="00E83233">
        <w:t>determining sustainability, automation safety, work health and safety (WHS), regulatory and risk management requirements</w:t>
      </w:r>
    </w:p>
    <w:p w:rsidR="00000000" w:rsidRPr="00E83233" w:rsidP="00E83233">
      <w:pPr>
        <w:pStyle w:val="ListBullet"/>
      </w:pPr>
      <w:r w:rsidRPr="00E83233">
        <w:t>researching latest trends and techniques in application of controllers and in reverse engineering</w:t>
      </w:r>
    </w:p>
    <w:p w:rsidR="00000000" w:rsidRPr="00E83233" w:rsidP="00E83233">
      <w:pPr>
        <w:pStyle w:val="ListBullet"/>
      </w:pPr>
      <w:r w:rsidRPr="00E83233">
        <w:t>investigating, measuring, modelling a</w:t>
      </w:r>
      <w:r w:rsidRPr="00E83233">
        <w:t>nd calculating for options</w:t>
      </w:r>
    </w:p>
    <w:p w:rsidR="00000000" w:rsidRPr="00E83233" w:rsidP="00E83233">
      <w:pPr>
        <w:pStyle w:val="ListBullet"/>
      </w:pPr>
      <w:r w:rsidRPr="00E83233">
        <w:t>investigating faults in existing designs and produce solutions</w:t>
      </w:r>
    </w:p>
    <w:p w:rsidR="00000000" w:rsidRPr="00E83233" w:rsidP="00E83233">
      <w:pPr>
        <w:pStyle w:val="ListBullet"/>
      </w:pPr>
      <w:r w:rsidRPr="00E83233">
        <w:t>generating and evaluating solutions</w:t>
      </w:r>
    </w:p>
    <w:p w:rsidR="00000000" w:rsidRPr="00E83233" w:rsidP="00E83233">
      <w:pPr>
        <w:pStyle w:val="ListBullet"/>
      </w:pPr>
      <w:r w:rsidRPr="00E83233">
        <w:t>designing microcontroller system solutions on at least two occasions</w:t>
      </w:r>
    </w:p>
    <w:p w:rsidR="00000000" w:rsidRPr="00E83233" w:rsidP="00E83233">
      <w:pPr>
        <w:pStyle w:val="ListBullet"/>
      </w:pPr>
      <w:r w:rsidRPr="00E83233">
        <w:t>considering any required continuous improvement, constraint a</w:t>
      </w:r>
      <w:r w:rsidRPr="00E83233">
        <w:t>nd contingency management requirements in design options</w:t>
      </w:r>
    </w:p>
    <w:p w:rsidR="00000000" w:rsidRPr="00E83233" w:rsidP="00E83233">
      <w:pPr>
        <w:pStyle w:val="ListBullet"/>
      </w:pPr>
      <w:r w:rsidRPr="00E83233">
        <w:t>prototyping and systematically programming and testing actuators and interfaces, input sensor and/or transducers, communications and network connections, human machine interfaces (HMIs) and graphical</w:t>
      </w:r>
      <w:r w:rsidRPr="00E83233">
        <w:t xml:space="preserve"> user interfaces (GUIs)</w:t>
      </w:r>
    </w:p>
    <w:p w:rsidR="00000000" w:rsidRPr="00E83233" w:rsidP="00E83233">
      <w:pPr>
        <w:pStyle w:val="ListBullet"/>
      </w:pPr>
      <w:r w:rsidRPr="00E83233">
        <w:t>selecting actuators, interfaces, microcontroller, sensors and/or transducers, signal conditioning, HMIs, communication and network software and connections, on at least two occasions</w:t>
      </w:r>
    </w:p>
    <w:p w:rsidR="00000000" w:rsidRPr="00E83233" w:rsidP="00E83233">
      <w:pPr>
        <w:pStyle w:val="ListBullet"/>
      </w:pPr>
      <w:r w:rsidRPr="00E83233">
        <w:t>ensuring automation safety using appropriate lice</w:t>
      </w:r>
      <w:r w:rsidRPr="00E83233">
        <w:t>nsed technical and professional assistance</w:t>
      </w:r>
    </w:p>
    <w:p w:rsidR="00000000" w:rsidRPr="00E83233" w:rsidP="00E83233">
      <w:pPr>
        <w:pStyle w:val="ListBullet"/>
      </w:pPr>
      <w:r w:rsidRPr="00E83233">
        <w:t>communicating, negotiating and reviewing with stakeholders and client throughout the process to obtain agreement on proposal and sign-off on design</w:t>
      </w:r>
    </w:p>
    <w:p w:rsidR="00000000" w:rsidRPr="00E83233" w:rsidP="00E83233">
      <w:pPr>
        <w:pStyle w:val="ListBullet"/>
      </w:pPr>
      <w:r w:rsidRPr="00E83233">
        <w:t>documenting design with drawings, specifications and instructions</w:t>
      </w:r>
      <w:r w:rsidRPr="00E83233">
        <w:t>.</w:t>
      </w:r>
    </w:p>
    <w:p w:rsidR="00000000" w:rsidRPr="00E83233" w:rsidP="00E83233">
      <w:pPr>
        <w:pStyle w:val="BodyText"/>
      </w:pPr>
    </w:p>
    <w:p w:rsidR="00000000" w:rsidRPr="003D196F" w:rsidP="003D196F">
      <w:pPr>
        <w:pStyle w:val="BodyText"/>
        <w:rPr>
          <w:i/>
        </w:rPr>
      </w:pPr>
      <w:r w:rsidRPr="003D196F">
        <w:rPr>
          <w:rStyle w:val="Emphasis"/>
        </w:rPr>
        <w:t>Note: Where a volume and/or frequency is not specified, demonstration must be provided at least once.</w:t>
      </w:r>
    </w:p>
    <w:p w:rsidR="00000000" w:rsidRPr="00E83233" w:rsidP="00E83233">
      <w:pPr>
        <w:pStyle w:val="Heading1"/>
      </w:pPr>
      <w:bookmarkStart w:id="3" w:name="O_944929"/>
      <w:bookmarkEnd w:id="3"/>
      <w:r w:rsidRPr="00E83233">
        <w:t>Knowledge Evidence</w:t>
      </w:r>
    </w:p>
    <w:p w:rsidR="00000000" w:rsidRPr="00E83233" w:rsidP="003D196F">
      <w:pPr>
        <w:pStyle w:val="BodyText"/>
      </w:pPr>
      <w:r w:rsidRPr="00E83233">
        <w:t>Evidence required to demonstrate the required knowledge for this unit must be relevant to and satisfy the requirements of the elements and performance criteria and include knowledge of:</w:t>
      </w:r>
    </w:p>
    <w:p w:rsidR="00000000" w:rsidRPr="00E83233" w:rsidP="00E83233">
      <w:pPr>
        <w:pStyle w:val="ListBullet"/>
      </w:pPr>
      <w:r w:rsidRPr="00E83233">
        <w:t xml:space="preserve">contemporary engineering microcontroller application design methods </w:t>
      </w:r>
    </w:p>
    <w:p w:rsidR="00000000" w:rsidRPr="00E83233" w:rsidP="00E83233">
      <w:pPr>
        <w:pStyle w:val="ListBullet"/>
      </w:pPr>
      <w:r w:rsidRPr="00E83233">
        <w:t>brief parameters</w:t>
      </w:r>
    </w:p>
    <w:p w:rsidR="00000000" w:rsidRPr="00E83233" w:rsidP="00E83233">
      <w:pPr>
        <w:pStyle w:val="ListBullet"/>
      </w:pPr>
      <w:r w:rsidRPr="00E83233">
        <w:t>research and investigation methods</w:t>
      </w:r>
    </w:p>
    <w:p w:rsidR="00000000" w:rsidRPr="00E83233" w:rsidP="00E83233">
      <w:pPr>
        <w:pStyle w:val="ListBullet"/>
      </w:pPr>
      <w:r w:rsidRPr="00E83233">
        <w:t>techniques for:</w:t>
      </w:r>
    </w:p>
    <w:p w:rsidR="00000000" w:rsidRPr="00E83233" w:rsidP="00E83233">
      <w:pPr>
        <w:pStyle w:val="ListBullet2"/>
      </w:pPr>
      <w:r w:rsidRPr="00E83233">
        <w:t>continuous improvement</w:t>
      </w:r>
    </w:p>
    <w:p w:rsidR="00000000" w:rsidRPr="00E83233" w:rsidP="00E83233">
      <w:pPr>
        <w:pStyle w:val="ListBullet2"/>
      </w:pPr>
      <w:r w:rsidRPr="00E83233">
        <w:t>problem-solving and decision-making</w:t>
      </w:r>
    </w:p>
    <w:p w:rsidR="00000000" w:rsidRPr="00E83233" w:rsidP="00E83233">
      <w:pPr>
        <w:pStyle w:val="ListBullet2"/>
      </w:pPr>
      <w:r w:rsidRPr="00E83233">
        <w:t>root cause analysis (RCA) or failure mode and effects analysis (FMEA) or design review based on failure mode (DRBFM), and Pareto</w:t>
      </w:r>
      <w:r w:rsidRPr="00E83233">
        <w:t xml:space="preserve"> analysis</w:t>
      </w:r>
    </w:p>
    <w:p w:rsidR="00000000" w:rsidRPr="00E83233" w:rsidP="00E83233">
      <w:pPr>
        <w:pStyle w:val="ListBullet"/>
      </w:pPr>
      <w:r w:rsidRPr="00E83233">
        <w:t xml:space="preserve">engineering design software options </w:t>
      </w:r>
    </w:p>
    <w:p w:rsidR="00000000" w:rsidRPr="00E83233" w:rsidP="00E83233">
      <w:pPr>
        <w:pStyle w:val="ListBullet"/>
      </w:pPr>
      <w:r w:rsidRPr="00E83233">
        <w:t>software simulation and validation processes</w:t>
      </w:r>
    </w:p>
    <w:p w:rsidR="00000000" w:rsidRPr="00E83233" w:rsidP="00E83233">
      <w:pPr>
        <w:pStyle w:val="ListBullet"/>
      </w:pPr>
      <w:r w:rsidRPr="00E83233">
        <w:t>documentation, drawings, specifications and instructions</w:t>
      </w:r>
    </w:p>
    <w:p w:rsidR="00000000" w:rsidRPr="00E83233" w:rsidP="00E83233">
      <w:pPr>
        <w:pStyle w:val="ListBullet"/>
      </w:pPr>
      <w:r w:rsidRPr="00E83233">
        <w:t>WHS and regulatory requirements, codes of practice, standards, risk minimisation and registration requirem</w:t>
      </w:r>
      <w:r w:rsidRPr="00E83233">
        <w:t>ents</w:t>
      </w:r>
    </w:p>
    <w:p w:rsidR="00000000" w:rsidRPr="00E83233" w:rsidP="00E83233">
      <w:pPr>
        <w:pStyle w:val="ListBullet"/>
      </w:pPr>
      <w:r w:rsidRPr="00E83233">
        <w:t>microcontroller software programming techniques</w:t>
      </w:r>
    </w:p>
    <w:p w:rsidR="00000000" w:rsidRPr="00E83233" w:rsidP="00E83233">
      <w:pPr>
        <w:pStyle w:val="ListBullet"/>
      </w:pPr>
      <w:r w:rsidRPr="00E83233">
        <w:t>control options</w:t>
      </w:r>
    </w:p>
    <w:p w:rsidR="00000000" w:rsidRPr="00E83233" w:rsidP="00E83233">
      <w:pPr>
        <w:pStyle w:val="ListBullet"/>
      </w:pPr>
      <w:r w:rsidRPr="00E83233">
        <w:t>device component options for different applications including microcontroller, user interfaces, HMIs and GUIs, software, data communications, telemetry, modems and networking topology</w:t>
      </w:r>
    </w:p>
    <w:p w:rsidR="00000000" w:rsidRPr="00E83233" w:rsidP="00E83233">
      <w:pPr>
        <w:pStyle w:val="ListBullet"/>
      </w:pPr>
      <w:r w:rsidRPr="00E83233">
        <w:t>specifications for input/output (I/O) and I/O channels.</w:t>
      </w:r>
    </w:p>
    <w:p w:rsidR="00000000" w:rsidRPr="00E83233" w:rsidP="00E83233">
      <w:pPr>
        <w:pStyle w:val="AllowPageBreak"/>
      </w:pPr>
    </w:p>
    <w:p w:rsidR="00000000" w:rsidRPr="00E83233" w:rsidP="00E83233">
      <w:pPr>
        <w:pStyle w:val="Heading1"/>
      </w:pPr>
      <w:bookmarkStart w:id="4" w:name="O_944928"/>
      <w:bookmarkEnd w:id="4"/>
      <w:r w:rsidRPr="00E83233">
        <w:t>Assessment Conditions</w:t>
      </w:r>
    </w:p>
    <w:p w:rsidR="00000000" w:rsidRPr="00E83233" w:rsidP="00E83233">
      <w:pPr>
        <w:pStyle w:val="ListBullet"/>
      </w:pPr>
      <w:r w:rsidRPr="00E83233">
        <w:t>Assessors must:</w:t>
      </w:r>
    </w:p>
    <w:p w:rsidR="00000000" w:rsidRPr="00E83233" w:rsidP="00E83233">
      <w:pPr>
        <w:pStyle w:val="ListBullet2"/>
      </w:pPr>
      <w:r w:rsidRPr="00E83233">
        <w:t xml:space="preserve">have vocational competency in designing microcontroller applications at least to the level being assessed with relevant industry knowledge and </w:t>
      </w:r>
      <w:r w:rsidRPr="00E83233">
        <w:t>experience</w:t>
      </w:r>
    </w:p>
    <w:p w:rsidR="00000000" w:rsidRPr="00E83233" w:rsidP="00E83233">
      <w:pPr>
        <w:pStyle w:val="ListBullet2"/>
      </w:pPr>
      <w:r w:rsidRPr="00E83233">
        <w:t xml:space="preserve">satisfy the assessor requirements in the </w:t>
      </w:r>
      <w:r w:rsidRPr="00E83233">
        <w:rPr>
          <w:rStyle w:val="Emphasis"/>
        </w:rPr>
        <w:t xml:space="preserve">Standards for Registered Training Organisations 2015 or its replacement </w:t>
      </w:r>
      <w:r w:rsidRPr="00E83233">
        <w:t xml:space="preserve">and comply with the </w:t>
      </w:r>
      <w:r w:rsidRPr="00E83233">
        <w:rPr>
          <w:rStyle w:val="Emphasis"/>
        </w:rPr>
        <w:t xml:space="preserve">National Vocational Education and Training Regulator Act 2011, </w:t>
      </w:r>
      <w:r w:rsidRPr="00E83233">
        <w:t>its replacement</w:t>
      </w:r>
      <w:r w:rsidRPr="00E83233">
        <w:rPr>
          <w:rStyle w:val="Emphasis"/>
        </w:rPr>
        <w:t xml:space="preserve"> </w:t>
      </w:r>
      <w:r w:rsidRPr="00E83233">
        <w:t>or equivalent legislation coverin</w:t>
      </w:r>
      <w:r w:rsidRPr="00E83233">
        <w:t>g VET regulation in a non-referring state/territory as the case requires.</w:t>
      </w:r>
    </w:p>
    <w:p w:rsidR="00000000" w:rsidRPr="00E83233" w:rsidP="00E83233">
      <w:pPr>
        <w:pStyle w:val="ListBullet"/>
      </w:pPr>
      <w:r w:rsidRPr="00E83233">
        <w:t>Where possible assessment must occur in operational workplace situations. Where this is not possible or where personal safety or environmental damage are limiting factors, assessmen</w:t>
      </w:r>
      <w:r w:rsidRPr="00E83233">
        <w:t>t must occur in a sufficiently rigorous simulated environment that reflects realistic operational workplace conditions that cover all aspects of workplace performance, including environment, task skills, task management skills, contingency management skill</w:t>
      </w:r>
      <w:r w:rsidRPr="00E83233">
        <w:t>s and job role environment skills.</w:t>
      </w:r>
    </w:p>
    <w:p w:rsidR="00000000" w:rsidRPr="00E83233" w:rsidP="00E83233">
      <w:pPr>
        <w:pStyle w:val="ListBullet"/>
      </w:pPr>
      <w:r w:rsidRPr="00E83233">
        <w:t>Conditions for assessment must include access to all tools, equipment, materials and documentation required including relevant workplace procedures, product and manufacturing specifications.</w:t>
      </w:r>
    </w:p>
    <w:p w:rsidR="003D196F" w:rsidP="00E83233">
      <w:pPr>
        <w:pStyle w:val="ListBullet"/>
      </w:pPr>
      <w:r w:rsidRPr="00E83233">
        <w:t>Assessment processes and techn</w:t>
      </w:r>
      <w:r w:rsidRPr="00E83233">
        <w:t>iques must be appropriate to the language, literacy and numeracy requirements of the work being performed and the needs of the candidate.</w:t>
      </w:r>
    </w:p>
    <w:p w:rsidR="003D196F" w:rsidP="00E83233">
      <w:pPr>
        <w:pStyle w:val="ListBullet"/>
      </w:pPr>
    </w:p>
    <w:p w:rsidR="00000000" w:rsidRPr="00E83233" w:rsidP="00E83233">
      <w:pPr>
        <w:pStyle w:val="Heading1"/>
      </w:pPr>
      <w:bookmarkStart w:id="5" w:name="O_944926"/>
      <w:bookmarkEnd w:id="5"/>
      <w:r w:rsidRPr="00E83233">
        <w:t>Links</w:t>
      </w:r>
    </w:p>
    <w:p w:rsidR="00000000" w:rsidRPr="00E83233" w:rsidP="003D196F">
      <w:pPr>
        <w:pStyle w:val="BodyText"/>
      </w:pPr>
      <w:r w:rsidRPr="00E83233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969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83233" w:rsidP="00E83233"/>
    <w:sectPr w:rsidSect="00E83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3" w:rsidRPr="003D196F" w:rsidP="003D1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6F" w:rsidP="00E83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96F" w:rsidP="00E83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196F" w:rsidP="00E83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233" w:rsidRPr="003D196F" w:rsidP="003D1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6F" w:rsidRPr="002D2AF8" w:rsidP="00E83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MEM234010 Design microcontroller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D196F" w:rsidP="00E83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FAD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EE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ED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233"/>
  </w:style>
  <w:style w:type="character" w:customStyle="1" w:styleId="Heading1Char">
    <w:name w:val="Heading 1 Char"/>
    <w:basedOn w:val="DefaultParagraphFont"/>
    <w:link w:val="Heading1"/>
    <w:rsid w:val="00E83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2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32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3233"/>
    <w:rPr>
      <w:i/>
    </w:rPr>
  </w:style>
  <w:style w:type="paragraph" w:customStyle="1" w:styleId="SuperHeading">
    <w:name w:val="SuperHeading"/>
    <w:basedOn w:val="Normal"/>
    <w:rsid w:val="00E83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233"/>
    <w:rPr>
      <w:b/>
      <w:spacing w:val="0"/>
    </w:rPr>
  </w:style>
  <w:style w:type="paragraph" w:customStyle="1" w:styleId="SuperTitle">
    <w:name w:val="SuperTitle"/>
    <w:basedOn w:val="Title"/>
    <w:rsid w:val="00E83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233"/>
  </w:style>
  <w:style w:type="paragraph" w:styleId="TableofFigures">
    <w:name w:val="table of figures"/>
    <w:basedOn w:val="Normal"/>
    <w:next w:val="Normal"/>
    <w:semiHidden/>
    <w:rsid w:val="00E83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2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3233"/>
    <w:rPr>
      <w:rFonts w:ascii="Wingdings" w:hAnsi="Wingdings"/>
    </w:rPr>
  </w:style>
  <w:style w:type="paragraph" w:customStyle="1" w:styleId="TableHeading">
    <w:name w:val="Table Heading"/>
    <w:basedOn w:val="HeadingBase"/>
    <w:rsid w:val="00E83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233"/>
    <w:rPr>
      <w:color w:val="0033CC"/>
      <w:u w:val="none"/>
    </w:rPr>
  </w:style>
  <w:style w:type="paragraph" w:customStyle="1" w:styleId="BodyTextRight">
    <w:name w:val="Body Text Right"/>
    <w:basedOn w:val="BodyText"/>
    <w:rsid w:val="00E83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2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233"/>
    <w:rPr>
      <w:sz w:val="32"/>
    </w:rPr>
  </w:style>
  <w:style w:type="paragraph" w:customStyle="1" w:styleId="HeadingProcedure">
    <w:name w:val="Heading Procedure"/>
    <w:basedOn w:val="HeadingBase"/>
    <w:next w:val="Normal"/>
    <w:rsid w:val="00E83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233"/>
    <w:pPr>
      <w:spacing w:before="60" w:after="60"/>
    </w:pPr>
  </w:style>
  <w:style w:type="paragraph" w:styleId="ListContinue">
    <w:name w:val="List Continue"/>
    <w:basedOn w:val="List"/>
    <w:rsid w:val="00E83233"/>
    <w:pPr>
      <w:ind w:firstLine="0"/>
    </w:pPr>
  </w:style>
  <w:style w:type="paragraph" w:customStyle="1" w:styleId="ListNote">
    <w:name w:val="List Note"/>
    <w:basedOn w:val="List"/>
    <w:rsid w:val="00E83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233"/>
    <w:rPr>
      <w:rFonts w:ascii="Courier New" w:hAnsi="Courier New"/>
    </w:rPr>
  </w:style>
  <w:style w:type="paragraph" w:customStyle="1" w:styleId="NoteBullet">
    <w:name w:val="Note Bullet"/>
    <w:basedOn w:val="Note"/>
    <w:rsid w:val="00E83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2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3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233"/>
    <w:rPr>
      <w:b/>
      <w:smallCaps/>
    </w:rPr>
  </w:style>
  <w:style w:type="paragraph" w:customStyle="1" w:styleId="TableListNumber">
    <w:name w:val="Table List Number"/>
    <w:basedOn w:val="ListNumber"/>
    <w:rsid w:val="00E83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233"/>
    <w:pPr>
      <w:numPr>
        <w:numId w:val="9"/>
      </w:numPr>
    </w:pPr>
  </w:style>
  <w:style w:type="paragraph" w:customStyle="1" w:styleId="ListAlpha2">
    <w:name w:val="List Alpha 2"/>
    <w:basedOn w:val="List2"/>
    <w:rsid w:val="00E83233"/>
    <w:pPr>
      <w:numPr>
        <w:numId w:val="8"/>
      </w:numPr>
    </w:pPr>
  </w:style>
  <w:style w:type="paragraph" w:styleId="List2">
    <w:name w:val="List 2"/>
    <w:basedOn w:val="BodyText"/>
    <w:rsid w:val="00E83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2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2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3233"/>
    <w:pPr>
      <w:numPr>
        <w:numId w:val="4"/>
      </w:numPr>
    </w:pPr>
  </w:style>
  <w:style w:type="paragraph" w:styleId="ListContinue2">
    <w:name w:val="List Continue 2"/>
    <w:basedOn w:val="List2"/>
    <w:rsid w:val="00E83233"/>
    <w:pPr>
      <w:ind w:firstLine="0"/>
    </w:pPr>
  </w:style>
  <w:style w:type="paragraph" w:styleId="ListContinue3">
    <w:name w:val="List Continue 3"/>
    <w:basedOn w:val="List3"/>
    <w:rsid w:val="00E83233"/>
    <w:pPr>
      <w:ind w:left="1021" w:firstLine="0"/>
    </w:pPr>
  </w:style>
  <w:style w:type="paragraph" w:styleId="ListContinue4">
    <w:name w:val="List Continue 4"/>
    <w:basedOn w:val="List4"/>
    <w:rsid w:val="00E83233"/>
    <w:pPr>
      <w:ind w:firstLine="0"/>
    </w:pPr>
  </w:style>
  <w:style w:type="paragraph" w:styleId="ListContinue5">
    <w:name w:val="List Continue 5"/>
    <w:basedOn w:val="List5"/>
    <w:rsid w:val="00E83233"/>
    <w:pPr>
      <w:ind w:firstLine="0"/>
    </w:pPr>
  </w:style>
  <w:style w:type="paragraph" w:styleId="ListNumber3">
    <w:name w:val="List Number 3"/>
    <w:basedOn w:val="List3"/>
    <w:rsid w:val="00E83233"/>
    <w:pPr>
      <w:numPr>
        <w:numId w:val="5"/>
      </w:numPr>
    </w:pPr>
  </w:style>
  <w:style w:type="paragraph" w:styleId="ListNumber4">
    <w:name w:val="List Number 4"/>
    <w:basedOn w:val="List4"/>
    <w:rsid w:val="00E83233"/>
    <w:pPr>
      <w:numPr>
        <w:numId w:val="6"/>
      </w:numPr>
    </w:pPr>
  </w:style>
  <w:style w:type="paragraph" w:styleId="ListNumber5">
    <w:name w:val="List Number 5"/>
    <w:basedOn w:val="List5"/>
    <w:rsid w:val="00E83233"/>
    <w:pPr>
      <w:numPr>
        <w:numId w:val="7"/>
      </w:numPr>
    </w:pPr>
  </w:style>
  <w:style w:type="paragraph" w:styleId="BlockText">
    <w:name w:val="Block Text"/>
    <w:basedOn w:val="Normal"/>
    <w:rsid w:val="00E83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233"/>
    <w:rPr>
      <w:sz w:val="16"/>
      <w:vertAlign w:val="superscript"/>
    </w:rPr>
  </w:style>
  <w:style w:type="character" w:customStyle="1" w:styleId="Symbols">
    <w:name w:val="Symbols"/>
    <w:basedOn w:val="DefaultParagraphFont"/>
    <w:rsid w:val="00E83233"/>
    <w:rPr>
      <w:rFonts w:ascii="Symbol" w:hAnsi="Symbol"/>
    </w:rPr>
  </w:style>
  <w:style w:type="character" w:customStyle="1" w:styleId="MenuOptions">
    <w:name w:val="Menu Options"/>
    <w:basedOn w:val="DefaultParagraphFont"/>
    <w:rsid w:val="00E83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233"/>
    <w:rPr>
      <w:b/>
    </w:rPr>
  </w:style>
  <w:style w:type="character" w:customStyle="1" w:styleId="Underlined">
    <w:name w:val="Underlined"/>
    <w:basedOn w:val="DefaultParagraphFont"/>
    <w:rsid w:val="00E83233"/>
    <w:rPr>
      <w:u w:val="single"/>
    </w:rPr>
  </w:style>
  <w:style w:type="paragraph" w:customStyle="1" w:styleId="TableBodyTextRight">
    <w:name w:val="Table Body Text Right"/>
    <w:basedOn w:val="TableBodyText"/>
    <w:rsid w:val="00E83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233"/>
    <w:rPr>
      <w:sz w:val="18"/>
    </w:rPr>
  </w:style>
  <w:style w:type="paragraph" w:customStyle="1" w:styleId="BodySmallRight">
    <w:name w:val="Body Small Right"/>
    <w:basedOn w:val="BodyTextRight"/>
    <w:rsid w:val="00E83233"/>
    <w:rPr>
      <w:sz w:val="18"/>
      <w:szCs w:val="18"/>
    </w:rPr>
  </w:style>
  <w:style w:type="paragraph" w:customStyle="1" w:styleId="MarginEdition">
    <w:name w:val="Margin Edition"/>
    <w:basedOn w:val="MarginNote"/>
    <w:rsid w:val="00E83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233"/>
    <w:rPr>
      <w:sz w:val="2"/>
      <w:szCs w:val="2"/>
    </w:rPr>
  </w:style>
  <w:style w:type="character" w:customStyle="1" w:styleId="Small">
    <w:name w:val="Small"/>
    <w:basedOn w:val="DefaultParagraphFont"/>
    <w:rsid w:val="00E83233"/>
    <w:rPr>
      <w:sz w:val="16"/>
    </w:rPr>
  </w:style>
  <w:style w:type="paragraph" w:customStyle="1" w:styleId="WideTable">
    <w:name w:val="Wide Table"/>
    <w:basedOn w:val="Normal"/>
    <w:rsid w:val="00E83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233"/>
  </w:style>
  <w:style w:type="paragraph" w:styleId="Quote">
    <w:name w:val="Quote"/>
    <w:basedOn w:val="Heading1"/>
    <w:link w:val="QuoteChar"/>
    <w:qFormat/>
    <w:rsid w:val="00E83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233"/>
    <w:pPr>
      <w:pageBreakBefore/>
    </w:pPr>
  </w:style>
  <w:style w:type="paragraph" w:customStyle="1" w:styleId="Border">
    <w:name w:val="Border"/>
    <w:basedOn w:val="Normal"/>
    <w:qFormat/>
    <w:rsid w:val="00E83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233"/>
    <w:rPr>
      <w:u w:val="single"/>
    </w:rPr>
  </w:style>
  <w:style w:type="character" w:customStyle="1" w:styleId="BoldandItalics">
    <w:name w:val="Bold and Italics"/>
    <w:qFormat/>
    <w:rsid w:val="00E83233"/>
    <w:rPr>
      <w:b/>
      <w:i/>
      <w:u w:val="none"/>
    </w:rPr>
  </w:style>
  <w:style w:type="paragraph" w:styleId="BalloonText">
    <w:name w:val="Balloon Text"/>
    <w:basedOn w:val="Normal"/>
    <w:link w:val="BalloonTextChar"/>
    <w:rsid w:val="00E8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233"/>
    <w:pPr>
      <w:spacing w:before="0" w:after="0"/>
    </w:pPr>
  </w:style>
  <w:style w:type="paragraph" w:customStyle="1" w:styleId="BodyTextBold">
    <w:name w:val="Body Text Bold"/>
    <w:basedOn w:val="BodyText"/>
    <w:qFormat/>
    <w:rsid w:val="00E83233"/>
    <w:rPr>
      <w:b/>
    </w:rPr>
  </w:style>
  <w:style w:type="character" w:styleId="Hyperlink">
    <w:name w:val="Hyperlink"/>
    <w:basedOn w:val="DefaultParagraphFont"/>
    <w:uiPriority w:val="99"/>
    <w:unhideWhenUsed/>
    <w:rsid w:val="003D1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4124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MEM234010 Design microcontroller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