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A73" w:rsidP="00937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MEM234007 Design fluid power systems</w:t>
      </w:r>
      <w:r>
        <w:fldChar w:fldCharType="end"/>
      </w:r>
    </w:p>
    <w:p w:rsidR="00937A73" w:rsidP="00937A73">
      <w:pPr>
        <w:pStyle w:val="Version"/>
        <w:sectPr w:rsidSect="00B03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7FA" w:rsidP="00B037FA">
      <w:pPr>
        <w:pStyle w:val="SuperHeading"/>
      </w:pPr>
      <w:r w:rsidRPr="00B037FA">
        <w:t>Assessment Requirements for MEM234007 Design fluid power systems</w:t>
      </w:r>
    </w:p>
    <w:p w:rsidR="00000000" w:rsidRPr="00B037FA" w:rsidP="00B037FA">
      <w:pPr>
        <w:pStyle w:val="Heading1"/>
      </w:pPr>
      <w:bookmarkStart w:id="1" w:name="O_944870"/>
      <w:bookmarkEnd w:id="1"/>
      <w:r w:rsidRPr="00B037FA">
        <w:t>Modification History</w:t>
      </w:r>
    </w:p>
    <w:p w:rsidR="00000000" w:rsidRPr="00B037FA" w:rsidP="00937A73">
      <w:pPr>
        <w:pStyle w:val="BodyText"/>
      </w:pPr>
      <w:r w:rsidRPr="00B037FA">
        <w:t>Release 1. Supersedes and is equivalent to MEM234007A Design fluid power systems.</w:t>
      </w:r>
    </w:p>
    <w:p w:rsidR="00000000" w:rsidRPr="00B037FA" w:rsidP="00B037FA">
      <w:pPr>
        <w:pStyle w:val="Heading1"/>
      </w:pPr>
      <w:bookmarkStart w:id="2" w:name="O_944873"/>
      <w:bookmarkEnd w:id="2"/>
      <w:r w:rsidRPr="00B037FA">
        <w:t>Performance Evidence</w:t>
      </w:r>
    </w:p>
    <w:p w:rsidR="00000000" w:rsidRPr="00B037FA" w:rsidP="00937A73">
      <w:pPr>
        <w:pStyle w:val="BodyText"/>
      </w:pPr>
      <w:r w:rsidRPr="00B037FA">
        <w:t>Evidence required to demonstrate competence in this unit must be relevant to and satisfy the requirements of the elements and performance criteria and include:</w:t>
      </w:r>
    </w:p>
    <w:p w:rsidR="00000000" w:rsidRPr="00B037FA" w:rsidP="00B037FA">
      <w:pPr>
        <w:pStyle w:val="ListBullet"/>
      </w:pPr>
      <w:r w:rsidRPr="00B037FA">
        <w:t>interpreting features of fluid power systems and parameters of the brief or contract</w:t>
      </w:r>
    </w:p>
    <w:p w:rsidR="00000000" w:rsidRPr="00B037FA" w:rsidP="00B037FA">
      <w:pPr>
        <w:pStyle w:val="ListBullet"/>
      </w:pPr>
      <w:r w:rsidRPr="00B037FA">
        <w:t>advising c</w:t>
      </w:r>
      <w:r w:rsidRPr="00B037FA">
        <w:t>lient based on discipline knowledge, work health and safety (WHS) and regulatory standards</w:t>
      </w:r>
    </w:p>
    <w:p w:rsidR="00000000" w:rsidRPr="00B037FA" w:rsidP="00B037FA">
      <w:pPr>
        <w:pStyle w:val="ListBullet"/>
      </w:pPr>
      <w:r w:rsidRPr="00B037FA">
        <w:t>researching trends and techniques in fluid power system design</w:t>
      </w:r>
    </w:p>
    <w:p w:rsidR="00000000" w:rsidRPr="00B037FA" w:rsidP="00B037FA">
      <w:pPr>
        <w:pStyle w:val="ListBullet"/>
      </w:pPr>
      <w:r w:rsidRPr="00B037FA">
        <w:t>determining work health and safety (WHS), regulatory and risk management requirements</w:t>
      </w:r>
    </w:p>
    <w:p w:rsidR="00000000" w:rsidRPr="00B037FA" w:rsidP="00B037FA">
      <w:pPr>
        <w:pStyle w:val="ListBullet"/>
      </w:pPr>
      <w:r w:rsidRPr="00B037FA">
        <w:t>investigating an</w:t>
      </w:r>
      <w:r w:rsidRPr="00B037FA">
        <w:t>d presenting options for fluid power design on at least two occasions</w:t>
      </w:r>
    </w:p>
    <w:p w:rsidR="00000000" w:rsidRPr="00B037FA" w:rsidP="00B037FA">
      <w:pPr>
        <w:pStyle w:val="ListBullet"/>
      </w:pPr>
      <w:r w:rsidRPr="00B037FA">
        <w:t>investigating faults in existing designs and proposing solutions</w:t>
      </w:r>
    </w:p>
    <w:p w:rsidR="00000000" w:rsidRPr="00B037FA" w:rsidP="00B037FA">
      <w:pPr>
        <w:pStyle w:val="ListBullet"/>
      </w:pPr>
      <w:r w:rsidRPr="00B037FA">
        <w:t>measuring, modelling, calculating, analysing and using software and validation techniques including 2D and 3D modelling</w:t>
      </w:r>
    </w:p>
    <w:p w:rsidR="00000000" w:rsidRPr="00B037FA" w:rsidP="00B037FA">
      <w:pPr>
        <w:pStyle w:val="ListBullet"/>
      </w:pPr>
      <w:r w:rsidRPr="00B037FA">
        <w:t>g</w:t>
      </w:r>
      <w:r w:rsidRPr="00B037FA">
        <w:t>enerating and evaluating solutions for feasibility against design criteria</w:t>
      </w:r>
    </w:p>
    <w:p w:rsidR="00000000" w:rsidRPr="00B037FA" w:rsidP="00B037FA">
      <w:pPr>
        <w:pStyle w:val="ListBullet"/>
      </w:pPr>
      <w:r w:rsidRPr="00B037FA">
        <w:t>designing optimum fluid power system solution on at least two occasions</w:t>
      </w:r>
    </w:p>
    <w:p w:rsidR="00000000" w:rsidRPr="00B037FA" w:rsidP="00B037FA">
      <w:pPr>
        <w:pStyle w:val="ListBullet"/>
      </w:pPr>
      <w:r w:rsidRPr="00B037FA">
        <w:t>communicating, negotiating and reviewing with stakeholders and client throughout the process to obtain agreem</w:t>
      </w:r>
      <w:r w:rsidRPr="00B037FA">
        <w:t>ent on proposal and sign-off on design</w:t>
      </w:r>
    </w:p>
    <w:p w:rsidR="00000000" w:rsidRPr="00B037FA" w:rsidP="00B037FA">
      <w:pPr>
        <w:pStyle w:val="ListBullet"/>
      </w:pPr>
      <w:r w:rsidRPr="00B037FA">
        <w:t>documenting design with drawings, circuit diagrams, specifications and instructions.</w:t>
      </w:r>
    </w:p>
    <w:p w:rsidR="00000000" w:rsidRPr="00B037FA" w:rsidP="00B037FA">
      <w:pPr>
        <w:pStyle w:val="BodyText"/>
      </w:pPr>
    </w:p>
    <w:p w:rsidR="00000000" w:rsidRPr="00B037FA" w:rsidP="00937A73">
      <w:pPr>
        <w:pStyle w:val="BodyText"/>
      </w:pPr>
      <w:r w:rsidRPr="00B037FA">
        <w:t>Note: Where a volume and/or frequency is not specified, demonstration must be provided at least once.</w:t>
      </w:r>
    </w:p>
    <w:p w:rsidR="00000000" w:rsidRPr="00B037FA" w:rsidP="00B037FA">
      <w:pPr>
        <w:pStyle w:val="Heading1"/>
      </w:pPr>
      <w:bookmarkStart w:id="3" w:name="O_944872"/>
      <w:bookmarkEnd w:id="3"/>
      <w:r w:rsidRPr="00B037FA">
        <w:t>Knowledge Ev</w:t>
      </w:r>
      <w:r w:rsidRPr="00B037FA">
        <w:t>idence</w:t>
      </w:r>
    </w:p>
    <w:p w:rsidR="00000000" w:rsidRPr="00B037FA" w:rsidP="00937A73">
      <w:pPr>
        <w:pStyle w:val="BodyText"/>
      </w:pPr>
      <w:r w:rsidRPr="00B037FA">
        <w:t>Evidence required to demonstrate the required knowledge for this unit must be relevant to and satisfy the requirements of the elements and performance criteria and include knowledge of:</w:t>
      </w:r>
    </w:p>
    <w:p w:rsidR="00000000" w:rsidRPr="00B037FA" w:rsidP="00B037FA">
      <w:pPr>
        <w:pStyle w:val="ListBullet"/>
      </w:pPr>
      <w:r w:rsidRPr="00B037FA">
        <w:t>Australian Standards relevant to fluid power systems</w:t>
      </w:r>
    </w:p>
    <w:p w:rsidR="00000000" w:rsidRPr="00B037FA" w:rsidP="00B037FA">
      <w:pPr>
        <w:pStyle w:val="ListBullet"/>
      </w:pPr>
      <w:r w:rsidRPr="00B037FA">
        <w:t>fluid power design methods</w:t>
      </w:r>
    </w:p>
    <w:p w:rsidR="00000000" w:rsidRPr="00B037FA" w:rsidP="00B037FA">
      <w:pPr>
        <w:pStyle w:val="ListBullet"/>
      </w:pPr>
      <w:r w:rsidRPr="00B037FA">
        <w:t>current options and trends in:</w:t>
      </w:r>
    </w:p>
    <w:p w:rsidR="00000000" w:rsidRPr="00B037FA" w:rsidP="00B037FA">
      <w:pPr>
        <w:pStyle w:val="ListBullet2"/>
      </w:pPr>
      <w:r w:rsidRPr="00B037FA">
        <w:t>design and performance analysis</w:t>
      </w:r>
    </w:p>
    <w:p w:rsidR="00000000" w:rsidRPr="00B037FA" w:rsidP="00B037FA">
      <w:pPr>
        <w:pStyle w:val="ListBullet2"/>
      </w:pPr>
      <w:r w:rsidRPr="00B037FA">
        <w:t>modelling and simulation software</w:t>
      </w:r>
    </w:p>
    <w:p w:rsidR="00000000" w:rsidRPr="00B037FA" w:rsidP="00B037FA">
      <w:pPr>
        <w:pStyle w:val="ListBullet2"/>
      </w:pPr>
      <w:r w:rsidRPr="00B037FA">
        <w:t xml:space="preserve">program and software validation techniques </w:t>
      </w:r>
    </w:p>
    <w:p w:rsidR="00000000" w:rsidRPr="00B037FA" w:rsidP="00B037FA">
      <w:pPr>
        <w:pStyle w:val="ListBullet"/>
      </w:pPr>
      <w:r w:rsidRPr="00B037FA">
        <w:t>research and investigations methods</w:t>
      </w:r>
    </w:p>
    <w:p w:rsidR="00000000" w:rsidRPr="00B037FA" w:rsidP="00B037FA">
      <w:pPr>
        <w:pStyle w:val="ListBullet"/>
      </w:pPr>
      <w:r w:rsidRPr="00B037FA">
        <w:t>brief or contract parameters</w:t>
      </w:r>
    </w:p>
    <w:p w:rsidR="00000000" w:rsidRPr="00B037FA" w:rsidP="00B037FA">
      <w:pPr>
        <w:pStyle w:val="ListBullet"/>
      </w:pPr>
      <w:r w:rsidRPr="00B037FA">
        <w:t>sustainability consid</w:t>
      </w:r>
      <w:r w:rsidRPr="00B037FA">
        <w:t>erations</w:t>
      </w:r>
    </w:p>
    <w:p w:rsidR="00000000" w:rsidRPr="00B037FA" w:rsidP="00B037FA">
      <w:pPr>
        <w:pStyle w:val="ListBullet"/>
      </w:pPr>
      <w:r w:rsidRPr="00B037FA">
        <w:t>techniques for:</w:t>
      </w:r>
    </w:p>
    <w:p w:rsidR="00000000" w:rsidRPr="00B037FA" w:rsidP="00B037FA">
      <w:pPr>
        <w:pStyle w:val="ListBullet2"/>
      </w:pPr>
      <w:r w:rsidRPr="00B037FA">
        <w:t>continuous improvement</w:t>
      </w:r>
    </w:p>
    <w:p w:rsidR="00000000" w:rsidRPr="00B037FA" w:rsidP="00B037FA">
      <w:pPr>
        <w:pStyle w:val="ListBullet2"/>
      </w:pPr>
      <w:r w:rsidRPr="00B037FA">
        <w:t>problem-solving and decision-making</w:t>
      </w:r>
    </w:p>
    <w:p w:rsidR="00000000" w:rsidRPr="00B037FA" w:rsidP="00B037FA">
      <w:pPr>
        <w:pStyle w:val="ListBullet2"/>
      </w:pPr>
      <w:r w:rsidRPr="00B037FA">
        <w:t>root cause analysis (RCA) or failure mode and effects analysis (FMEA) or design review based on failure mode (DRBFM), and Pareto analysis</w:t>
      </w:r>
    </w:p>
    <w:p w:rsidR="00000000" w:rsidRPr="00B037FA" w:rsidP="00B037FA">
      <w:pPr>
        <w:pStyle w:val="ListBullet"/>
      </w:pPr>
      <w:r w:rsidRPr="00B037FA">
        <w:t>principles of fluid power design</w:t>
      </w:r>
      <w:r w:rsidRPr="00B037FA">
        <w:t>s</w:t>
      </w:r>
    </w:p>
    <w:p w:rsidR="00000000" w:rsidRPr="00B037FA" w:rsidP="00B037FA">
      <w:pPr>
        <w:pStyle w:val="ListBullet"/>
      </w:pPr>
      <w:r w:rsidRPr="00B037FA">
        <w:t xml:space="preserve">dimensions, capacity and position of system components </w:t>
      </w:r>
    </w:p>
    <w:p w:rsidR="00000000" w:rsidRPr="00B037FA" w:rsidP="00B037FA">
      <w:pPr>
        <w:pStyle w:val="ListBullet"/>
      </w:pPr>
      <w:r w:rsidRPr="00B037FA">
        <w:t>system responsiveness</w:t>
      </w:r>
    </w:p>
    <w:p w:rsidR="00000000" w:rsidRPr="00B037FA" w:rsidP="00B037FA">
      <w:pPr>
        <w:pStyle w:val="ListBullet"/>
      </w:pPr>
      <w:r w:rsidRPr="00B037FA">
        <w:t>electrical and mechanical behaviours of fluid power systems</w:t>
      </w:r>
    </w:p>
    <w:p w:rsidR="00000000" w:rsidRPr="00B037FA" w:rsidP="00B037FA">
      <w:pPr>
        <w:pStyle w:val="ListBullet"/>
      </w:pPr>
      <w:r w:rsidRPr="00B037FA">
        <w:t>hydraulics and designing with hydraulics components</w:t>
      </w:r>
    </w:p>
    <w:p w:rsidR="00000000" w:rsidRPr="00B037FA" w:rsidP="00B037FA">
      <w:pPr>
        <w:pStyle w:val="ListBullet"/>
      </w:pPr>
      <w:r w:rsidRPr="00B037FA">
        <w:t>applications and characteristics of servo valves</w:t>
      </w:r>
    </w:p>
    <w:p w:rsidR="00000000" w:rsidRPr="00B037FA" w:rsidP="00B037FA">
      <w:pPr>
        <w:pStyle w:val="ListBullet"/>
      </w:pPr>
      <w:r w:rsidRPr="00B037FA">
        <w:t>electronic controllers for proportional and servo valves</w:t>
      </w:r>
    </w:p>
    <w:p w:rsidR="00000000" w:rsidRPr="00B037FA" w:rsidP="00B037FA">
      <w:pPr>
        <w:pStyle w:val="ListBullet"/>
      </w:pPr>
      <w:r w:rsidRPr="00B037FA">
        <w:t>sensors, transducers and amplifiers</w:t>
      </w:r>
    </w:p>
    <w:p w:rsidR="00000000" w:rsidRPr="00B037FA" w:rsidP="00B037FA">
      <w:pPr>
        <w:pStyle w:val="ListBullet"/>
      </w:pPr>
      <w:r w:rsidRPr="00B037FA">
        <w:t>pneumatics and designing with pneumatic components</w:t>
      </w:r>
    </w:p>
    <w:p w:rsidR="00000000" w:rsidRPr="00B037FA" w:rsidP="00B037FA">
      <w:pPr>
        <w:pStyle w:val="ListBullet"/>
      </w:pPr>
      <w:r w:rsidRPr="00B037FA">
        <w:t xml:space="preserve">multiple actuator control circuits </w:t>
      </w:r>
    </w:p>
    <w:p w:rsidR="00000000" w:rsidRPr="00B037FA" w:rsidP="00B037FA">
      <w:pPr>
        <w:pStyle w:val="ListBullet"/>
      </w:pPr>
      <w:r w:rsidRPr="00B037FA">
        <w:t>compressed air system design</w:t>
      </w:r>
    </w:p>
    <w:p w:rsidR="00000000" w:rsidRPr="00B037FA" w:rsidP="00B037FA">
      <w:pPr>
        <w:pStyle w:val="ListBullet"/>
      </w:pPr>
      <w:r w:rsidRPr="00B037FA">
        <w:t>WHS and regulatory requirements, codes of pract</w:t>
      </w:r>
      <w:r w:rsidRPr="00B037FA">
        <w:t>ice, standards, risk minimisation and registration requirements.</w:t>
      </w:r>
    </w:p>
    <w:p w:rsidR="00000000" w:rsidRPr="00B037FA" w:rsidP="00B037FA">
      <w:pPr>
        <w:pStyle w:val="AllowPageBreak"/>
      </w:pPr>
    </w:p>
    <w:p w:rsidR="00000000" w:rsidRPr="00B037FA" w:rsidP="00B037FA">
      <w:pPr>
        <w:pStyle w:val="Heading1"/>
      </w:pPr>
      <w:bookmarkStart w:id="4" w:name="O_944871"/>
      <w:bookmarkEnd w:id="4"/>
      <w:r w:rsidRPr="00B037FA">
        <w:t>Assessment Conditions</w:t>
      </w:r>
    </w:p>
    <w:p w:rsidR="00000000" w:rsidRPr="00B037FA" w:rsidP="00B037FA">
      <w:pPr>
        <w:pStyle w:val="ListBullet"/>
      </w:pPr>
      <w:r w:rsidRPr="00B037FA">
        <w:t>Assessors must:</w:t>
      </w:r>
    </w:p>
    <w:p w:rsidR="00000000" w:rsidRPr="00B037FA" w:rsidP="00B037FA">
      <w:pPr>
        <w:pStyle w:val="ListBullet2"/>
      </w:pPr>
      <w:r w:rsidRPr="00B037FA">
        <w:t xml:space="preserve">have vocational competency in designing fluid power systems at least to the level being assessed with relevant industry knowledge and </w:t>
      </w:r>
      <w:r w:rsidRPr="00B037FA">
        <w:t>experience</w:t>
      </w:r>
    </w:p>
    <w:p w:rsidR="00000000" w:rsidRPr="00B037FA" w:rsidP="00B037FA">
      <w:pPr>
        <w:pStyle w:val="ListBullet2"/>
      </w:pPr>
      <w:r w:rsidRPr="00B037FA">
        <w:t xml:space="preserve">satisfy the assessor requirements in the </w:t>
      </w:r>
      <w:r w:rsidRPr="00B037FA">
        <w:rPr>
          <w:rStyle w:val="Emphasis"/>
        </w:rPr>
        <w:t xml:space="preserve">Standards for Registered Training Organisations 2015 or its replacement </w:t>
      </w:r>
      <w:r w:rsidRPr="00B037FA">
        <w:t xml:space="preserve">and comply with the </w:t>
      </w:r>
      <w:r w:rsidRPr="00B037FA">
        <w:rPr>
          <w:rStyle w:val="Emphasis"/>
        </w:rPr>
        <w:t xml:space="preserve">National Vocational Education and Training Regulator Act 2011, </w:t>
      </w:r>
      <w:r w:rsidRPr="00B037FA">
        <w:t>its replacement</w:t>
      </w:r>
      <w:r w:rsidRPr="00B037FA">
        <w:rPr>
          <w:rStyle w:val="Emphasis"/>
        </w:rPr>
        <w:t xml:space="preserve"> </w:t>
      </w:r>
      <w:r w:rsidRPr="00B037FA">
        <w:t>or equivalent legislation covering VET regulation in a non-referring state/territory as the case requires.</w:t>
      </w:r>
    </w:p>
    <w:p w:rsidR="00000000" w:rsidRPr="00B037FA" w:rsidP="00B037FA">
      <w:pPr>
        <w:pStyle w:val="ListBullet"/>
      </w:pPr>
      <w:r w:rsidRPr="00B037FA">
        <w:t>Where possible assessment must occur in operational workplace situations. Where this is not possible or where personal safety or environmental damag</w:t>
      </w:r>
      <w:r w:rsidRPr="00B037FA">
        <w:t>e are limiting factors, assessment must occur in a sufficiently rigorous simulated environment that reflects realistic operational workplace conditions that cover all aspects of workplace performance, including environment, task skills, task management ski</w:t>
      </w:r>
      <w:r w:rsidRPr="00B037FA">
        <w:t>lls, contingency management skills and job role environment skills.</w:t>
      </w:r>
    </w:p>
    <w:p w:rsidR="00000000" w:rsidRPr="00B037FA" w:rsidP="00B037FA">
      <w:pPr>
        <w:pStyle w:val="ListBullet"/>
      </w:pPr>
      <w:r w:rsidRPr="00B037FA">
        <w:t>Conditions for assessment must include access to all tools, equipment, materials and documentation required including relevant workplace procedures, product and manufacturing specification</w:t>
      </w:r>
      <w:r w:rsidRPr="00B037FA">
        <w:t>s.</w:t>
      </w:r>
    </w:p>
    <w:p w:rsidR="00937A73" w:rsidP="00B037FA">
      <w:pPr>
        <w:pStyle w:val="ListBullet"/>
      </w:pPr>
      <w:r w:rsidRPr="00B037FA">
        <w:t>Assessment processes and techniques must be appropriate to the language, literacy and numeracy requirements of the work being performed and the needs of the candidate.</w:t>
      </w:r>
    </w:p>
    <w:p w:rsidR="00937A73" w:rsidP="00B037FA">
      <w:pPr>
        <w:pStyle w:val="ListBullet"/>
      </w:pPr>
    </w:p>
    <w:p w:rsidR="00000000" w:rsidRPr="00B037FA" w:rsidP="00B037FA">
      <w:pPr>
        <w:pStyle w:val="Heading1"/>
      </w:pPr>
      <w:bookmarkStart w:id="5" w:name="O_944869"/>
      <w:bookmarkEnd w:id="5"/>
      <w:r w:rsidRPr="00B037FA">
        <w:t>Links</w:t>
      </w:r>
    </w:p>
    <w:p w:rsidR="00000000" w:rsidRPr="00B037FA" w:rsidP="00937A73">
      <w:pPr>
        <w:pStyle w:val="BodyText"/>
      </w:pPr>
      <w:r w:rsidRPr="00B037FA">
        <w:t>Companion Volume Implementation Guides are available on VETNe</w:t>
      </w:r>
      <w:r w:rsidRPr="00B037FA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6E5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37FA" w:rsidP="00B037FA"/>
    <w:sectPr w:rsidSect="00B03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FA" w:rsidRPr="00937A73" w:rsidP="00937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73" w:rsidP="00B03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A73" w:rsidP="00B03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7A73" w:rsidP="00B03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7FA" w:rsidRPr="00937A73" w:rsidP="00937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73" w:rsidRPr="002D2AF8" w:rsidP="00B03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MEM234007 Design fluid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37A73" w:rsidP="00B03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10A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83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61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7FA"/>
  </w:style>
  <w:style w:type="character" w:customStyle="1" w:styleId="Heading1Char">
    <w:name w:val="Heading 1 Char"/>
    <w:basedOn w:val="DefaultParagraphFont"/>
    <w:link w:val="Heading1"/>
    <w:rsid w:val="00B03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7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37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37FA"/>
    <w:rPr>
      <w:i/>
    </w:rPr>
  </w:style>
  <w:style w:type="paragraph" w:customStyle="1" w:styleId="SuperHeading">
    <w:name w:val="SuperHeading"/>
    <w:basedOn w:val="Normal"/>
    <w:rsid w:val="00B03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7FA"/>
    <w:rPr>
      <w:b/>
      <w:spacing w:val="0"/>
    </w:rPr>
  </w:style>
  <w:style w:type="paragraph" w:customStyle="1" w:styleId="SuperTitle">
    <w:name w:val="SuperTitle"/>
    <w:basedOn w:val="Title"/>
    <w:rsid w:val="00B03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3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7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7FA"/>
  </w:style>
  <w:style w:type="paragraph" w:styleId="TableofFigures">
    <w:name w:val="table of figures"/>
    <w:basedOn w:val="Normal"/>
    <w:next w:val="Normal"/>
    <w:semiHidden/>
    <w:rsid w:val="00B03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7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37FA"/>
    <w:rPr>
      <w:rFonts w:ascii="Wingdings" w:hAnsi="Wingdings"/>
    </w:rPr>
  </w:style>
  <w:style w:type="paragraph" w:customStyle="1" w:styleId="TableHeading">
    <w:name w:val="Table Heading"/>
    <w:basedOn w:val="HeadingBase"/>
    <w:rsid w:val="00B03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7FA"/>
    <w:rPr>
      <w:color w:val="0033CC"/>
      <w:u w:val="none"/>
    </w:rPr>
  </w:style>
  <w:style w:type="paragraph" w:customStyle="1" w:styleId="BodyTextRight">
    <w:name w:val="Body Text Right"/>
    <w:basedOn w:val="BodyText"/>
    <w:rsid w:val="00B03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7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7FA"/>
    <w:rPr>
      <w:sz w:val="32"/>
    </w:rPr>
  </w:style>
  <w:style w:type="paragraph" w:customStyle="1" w:styleId="HeadingProcedure">
    <w:name w:val="Heading Procedure"/>
    <w:basedOn w:val="HeadingBase"/>
    <w:next w:val="Normal"/>
    <w:rsid w:val="00B03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7FA"/>
    <w:pPr>
      <w:spacing w:before="60" w:after="60"/>
    </w:pPr>
  </w:style>
  <w:style w:type="paragraph" w:styleId="ListContinue">
    <w:name w:val="List Continue"/>
    <w:basedOn w:val="List"/>
    <w:rsid w:val="00B037FA"/>
    <w:pPr>
      <w:ind w:firstLine="0"/>
    </w:pPr>
  </w:style>
  <w:style w:type="paragraph" w:customStyle="1" w:styleId="ListNote">
    <w:name w:val="List Note"/>
    <w:basedOn w:val="List"/>
    <w:rsid w:val="00B03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7FA"/>
    <w:rPr>
      <w:rFonts w:ascii="Courier New" w:hAnsi="Courier New"/>
    </w:rPr>
  </w:style>
  <w:style w:type="paragraph" w:customStyle="1" w:styleId="NoteBullet">
    <w:name w:val="Note Bullet"/>
    <w:basedOn w:val="Note"/>
    <w:rsid w:val="00B03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7FA"/>
    <w:rPr>
      <w:b/>
      <w:smallCaps/>
    </w:rPr>
  </w:style>
  <w:style w:type="paragraph" w:customStyle="1" w:styleId="TableListNumber">
    <w:name w:val="Table List Number"/>
    <w:basedOn w:val="ListNumber"/>
    <w:rsid w:val="00B03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7FA"/>
    <w:pPr>
      <w:numPr>
        <w:numId w:val="9"/>
      </w:numPr>
    </w:pPr>
  </w:style>
  <w:style w:type="paragraph" w:customStyle="1" w:styleId="ListAlpha2">
    <w:name w:val="List Alpha 2"/>
    <w:basedOn w:val="List2"/>
    <w:rsid w:val="00B037FA"/>
    <w:pPr>
      <w:numPr>
        <w:numId w:val="8"/>
      </w:numPr>
    </w:pPr>
  </w:style>
  <w:style w:type="paragraph" w:styleId="List2">
    <w:name w:val="List 2"/>
    <w:basedOn w:val="BodyText"/>
    <w:rsid w:val="00B03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7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37FA"/>
    <w:pPr>
      <w:numPr>
        <w:numId w:val="4"/>
      </w:numPr>
    </w:pPr>
  </w:style>
  <w:style w:type="paragraph" w:styleId="ListContinue2">
    <w:name w:val="List Continue 2"/>
    <w:basedOn w:val="List2"/>
    <w:rsid w:val="00B037FA"/>
    <w:pPr>
      <w:ind w:firstLine="0"/>
    </w:pPr>
  </w:style>
  <w:style w:type="paragraph" w:styleId="ListContinue3">
    <w:name w:val="List Continue 3"/>
    <w:basedOn w:val="List3"/>
    <w:rsid w:val="00B037FA"/>
    <w:pPr>
      <w:ind w:left="1021" w:firstLine="0"/>
    </w:pPr>
  </w:style>
  <w:style w:type="paragraph" w:styleId="ListContinue4">
    <w:name w:val="List Continue 4"/>
    <w:basedOn w:val="List4"/>
    <w:rsid w:val="00B037FA"/>
    <w:pPr>
      <w:ind w:firstLine="0"/>
    </w:pPr>
  </w:style>
  <w:style w:type="paragraph" w:styleId="ListContinue5">
    <w:name w:val="List Continue 5"/>
    <w:basedOn w:val="List5"/>
    <w:rsid w:val="00B037FA"/>
    <w:pPr>
      <w:ind w:firstLine="0"/>
    </w:pPr>
  </w:style>
  <w:style w:type="paragraph" w:styleId="ListNumber3">
    <w:name w:val="List Number 3"/>
    <w:basedOn w:val="List3"/>
    <w:rsid w:val="00B037FA"/>
    <w:pPr>
      <w:numPr>
        <w:numId w:val="5"/>
      </w:numPr>
    </w:pPr>
  </w:style>
  <w:style w:type="paragraph" w:styleId="ListNumber4">
    <w:name w:val="List Number 4"/>
    <w:basedOn w:val="List4"/>
    <w:rsid w:val="00B037FA"/>
    <w:pPr>
      <w:numPr>
        <w:numId w:val="6"/>
      </w:numPr>
    </w:pPr>
  </w:style>
  <w:style w:type="paragraph" w:styleId="ListNumber5">
    <w:name w:val="List Number 5"/>
    <w:basedOn w:val="List5"/>
    <w:rsid w:val="00B037FA"/>
    <w:pPr>
      <w:numPr>
        <w:numId w:val="7"/>
      </w:numPr>
    </w:pPr>
  </w:style>
  <w:style w:type="paragraph" w:styleId="BlockText">
    <w:name w:val="Block Text"/>
    <w:basedOn w:val="Normal"/>
    <w:rsid w:val="00B03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7FA"/>
    <w:rPr>
      <w:sz w:val="16"/>
      <w:vertAlign w:val="superscript"/>
    </w:rPr>
  </w:style>
  <w:style w:type="character" w:customStyle="1" w:styleId="Symbols">
    <w:name w:val="Symbols"/>
    <w:basedOn w:val="DefaultParagraphFont"/>
    <w:rsid w:val="00B037FA"/>
    <w:rPr>
      <w:rFonts w:ascii="Symbol" w:hAnsi="Symbol"/>
    </w:rPr>
  </w:style>
  <w:style w:type="character" w:customStyle="1" w:styleId="MenuOptions">
    <w:name w:val="Menu Options"/>
    <w:basedOn w:val="DefaultParagraphFont"/>
    <w:rsid w:val="00B03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7FA"/>
    <w:rPr>
      <w:b/>
    </w:rPr>
  </w:style>
  <w:style w:type="character" w:customStyle="1" w:styleId="Underlined">
    <w:name w:val="Underlined"/>
    <w:basedOn w:val="DefaultParagraphFont"/>
    <w:rsid w:val="00B037FA"/>
    <w:rPr>
      <w:u w:val="single"/>
    </w:rPr>
  </w:style>
  <w:style w:type="paragraph" w:customStyle="1" w:styleId="TableBodyTextRight">
    <w:name w:val="Table Body Text Right"/>
    <w:basedOn w:val="TableBodyText"/>
    <w:rsid w:val="00B03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7FA"/>
    <w:rPr>
      <w:sz w:val="18"/>
    </w:rPr>
  </w:style>
  <w:style w:type="paragraph" w:customStyle="1" w:styleId="BodySmallRight">
    <w:name w:val="Body Small Right"/>
    <w:basedOn w:val="BodyTextRight"/>
    <w:rsid w:val="00B037FA"/>
    <w:rPr>
      <w:sz w:val="18"/>
      <w:szCs w:val="18"/>
    </w:rPr>
  </w:style>
  <w:style w:type="paragraph" w:customStyle="1" w:styleId="MarginEdition">
    <w:name w:val="Margin Edition"/>
    <w:basedOn w:val="MarginNote"/>
    <w:rsid w:val="00B03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7FA"/>
    <w:rPr>
      <w:sz w:val="2"/>
      <w:szCs w:val="2"/>
    </w:rPr>
  </w:style>
  <w:style w:type="character" w:customStyle="1" w:styleId="Small">
    <w:name w:val="Small"/>
    <w:basedOn w:val="DefaultParagraphFont"/>
    <w:rsid w:val="00B037FA"/>
    <w:rPr>
      <w:sz w:val="16"/>
    </w:rPr>
  </w:style>
  <w:style w:type="paragraph" w:customStyle="1" w:styleId="WideTable">
    <w:name w:val="Wide Table"/>
    <w:basedOn w:val="Normal"/>
    <w:rsid w:val="00B03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7FA"/>
  </w:style>
  <w:style w:type="paragraph" w:styleId="Quote">
    <w:name w:val="Quote"/>
    <w:basedOn w:val="Heading1"/>
    <w:link w:val="QuoteChar"/>
    <w:qFormat/>
    <w:rsid w:val="00B03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7FA"/>
    <w:pPr>
      <w:pageBreakBefore/>
    </w:pPr>
  </w:style>
  <w:style w:type="paragraph" w:customStyle="1" w:styleId="Border">
    <w:name w:val="Border"/>
    <w:basedOn w:val="Normal"/>
    <w:qFormat/>
    <w:rsid w:val="00B03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7FA"/>
    <w:rPr>
      <w:u w:val="single"/>
    </w:rPr>
  </w:style>
  <w:style w:type="character" w:customStyle="1" w:styleId="BoldandItalics">
    <w:name w:val="Bold and Italics"/>
    <w:qFormat/>
    <w:rsid w:val="00B037FA"/>
    <w:rPr>
      <w:b/>
      <w:i/>
      <w:u w:val="none"/>
    </w:rPr>
  </w:style>
  <w:style w:type="paragraph" w:styleId="BalloonText">
    <w:name w:val="Balloon Text"/>
    <w:basedOn w:val="Normal"/>
    <w:link w:val="BalloonTextChar"/>
    <w:rsid w:val="00B03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7FA"/>
    <w:pPr>
      <w:spacing w:before="0" w:after="0"/>
    </w:pPr>
  </w:style>
  <w:style w:type="paragraph" w:customStyle="1" w:styleId="BodyTextBold">
    <w:name w:val="Body Text Bold"/>
    <w:basedOn w:val="BodyText"/>
    <w:qFormat/>
    <w:rsid w:val="00B037FA"/>
    <w:rPr>
      <w:b/>
    </w:rPr>
  </w:style>
  <w:style w:type="character" w:styleId="Hyperlink">
    <w:name w:val="Hyperlink"/>
    <w:basedOn w:val="DefaultParagraphFont"/>
    <w:uiPriority w:val="99"/>
    <w:unhideWhenUsed/>
    <w:rsid w:val="00937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3925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MEM234007 Design fluid power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2023-02-03T07:25:00Z</dcterms:created>
  <dcterms:modified xsi:type="dcterms:W3CDTF">2023-02-03T07:25:00Z</dcterms:modified>
</cp:coreProperties>
</file>