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262" w:rsidP="002A5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MEM234005 Design hydrodynamic pumping systems</w:t>
      </w:r>
      <w:r>
        <w:fldChar w:fldCharType="end"/>
      </w:r>
    </w:p>
    <w:p w:rsidR="002A5262" w:rsidP="002A5262">
      <w:pPr>
        <w:pStyle w:val="Version"/>
        <w:sectPr w:rsidSect="00E26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1E6" w:rsidP="00E261E6">
      <w:pPr>
        <w:pStyle w:val="SuperHeading"/>
      </w:pPr>
      <w:r w:rsidRPr="00E261E6">
        <w:t>Assessment Requirements for MEM234005 Design hydrodynamic pumping systems</w:t>
      </w:r>
    </w:p>
    <w:p w:rsidR="00000000" w:rsidRPr="00E261E6" w:rsidP="00E261E6">
      <w:pPr>
        <w:pStyle w:val="Heading1"/>
      </w:pPr>
      <w:bookmarkStart w:id="1" w:name="O_944832"/>
      <w:bookmarkEnd w:id="1"/>
      <w:r w:rsidRPr="00E261E6">
        <w:t>Modification History</w:t>
      </w:r>
    </w:p>
    <w:p w:rsidR="00000000" w:rsidRPr="00E261E6" w:rsidP="002A5262">
      <w:pPr>
        <w:pStyle w:val="BodyText"/>
      </w:pPr>
      <w:r w:rsidRPr="00E261E6">
        <w:t>Release 1. Supersedes and is equivalent to MEM234005A Design hydrodynamic pumping systems.</w:t>
      </w:r>
    </w:p>
    <w:p w:rsidR="00000000" w:rsidRPr="00E261E6" w:rsidP="00E261E6">
      <w:pPr>
        <w:pStyle w:val="Heading1"/>
      </w:pPr>
      <w:bookmarkStart w:id="2" w:name="O_944835"/>
      <w:bookmarkEnd w:id="2"/>
      <w:r w:rsidRPr="00E261E6">
        <w:t>Performance Evidence</w:t>
      </w:r>
    </w:p>
    <w:p w:rsidR="00000000" w:rsidRPr="00E261E6" w:rsidP="002A5262">
      <w:pPr>
        <w:pStyle w:val="BodyText"/>
      </w:pPr>
      <w:r w:rsidRPr="00E261E6">
        <w:t>Evidence required to demonstrate competence in this unit must be relevant to and satisfy the requirements of the elements and performance criteria and include:</w:t>
      </w:r>
    </w:p>
    <w:p w:rsidR="00000000" w:rsidRPr="00E261E6" w:rsidP="00E261E6">
      <w:pPr>
        <w:pStyle w:val="ListBullet"/>
      </w:pPr>
      <w:r w:rsidRPr="00E261E6">
        <w:t>interpreting features of plant and equipment and parameters of the brief or contract</w:t>
      </w:r>
    </w:p>
    <w:p w:rsidR="00000000" w:rsidRPr="00E261E6" w:rsidP="00E261E6">
      <w:pPr>
        <w:pStyle w:val="ListBullet"/>
      </w:pPr>
      <w:r w:rsidRPr="00E261E6">
        <w:t>advising t</w:t>
      </w:r>
      <w:r w:rsidRPr="00E261E6">
        <w:t>he client based on discipline knowledge and work health and safety (WHS) and regulatory standards</w:t>
      </w:r>
    </w:p>
    <w:p w:rsidR="00000000" w:rsidRPr="00E261E6" w:rsidP="00E261E6">
      <w:pPr>
        <w:pStyle w:val="ListBullet"/>
      </w:pPr>
      <w:r w:rsidRPr="00E261E6">
        <w:t>researching sustainability implications and current industrial design techniques</w:t>
      </w:r>
    </w:p>
    <w:p w:rsidR="00000000" w:rsidRPr="00E261E6" w:rsidP="00E261E6">
      <w:pPr>
        <w:pStyle w:val="ListBullet"/>
      </w:pPr>
      <w:r w:rsidRPr="00E261E6">
        <w:t>determining WHS, regulatory and risk management requirements</w:t>
      </w:r>
    </w:p>
    <w:p w:rsidR="00000000" w:rsidRPr="00E261E6" w:rsidP="00E261E6">
      <w:pPr>
        <w:pStyle w:val="ListBullet"/>
      </w:pPr>
      <w:r w:rsidRPr="00E261E6">
        <w:t>modelling and ca</w:t>
      </w:r>
      <w:r w:rsidRPr="00E261E6">
        <w:t>lculating using appropriate software and validation techniques</w:t>
      </w:r>
    </w:p>
    <w:p w:rsidR="00000000" w:rsidRPr="00E261E6" w:rsidP="00E261E6">
      <w:pPr>
        <w:pStyle w:val="ListBullet"/>
      </w:pPr>
      <w:r w:rsidRPr="00E261E6">
        <w:t>generating and evaluating solutions for feasibility against design criteria</w:t>
      </w:r>
    </w:p>
    <w:p w:rsidR="00000000" w:rsidRPr="00E261E6" w:rsidP="00E261E6">
      <w:pPr>
        <w:pStyle w:val="ListBullet"/>
      </w:pPr>
      <w:r w:rsidRPr="00E261E6">
        <w:t>designing hydrodynamic pumping solution on at least two occasions</w:t>
      </w:r>
    </w:p>
    <w:p w:rsidR="00000000" w:rsidRPr="00E261E6" w:rsidP="00E261E6">
      <w:pPr>
        <w:pStyle w:val="ListBullet"/>
      </w:pPr>
      <w:r w:rsidRPr="00E261E6">
        <w:t>communicating, negotiating and reviewing with stake</w:t>
      </w:r>
      <w:r w:rsidRPr="00E261E6">
        <w:t>holders and client throughout the process to obtain agreement on proposal and sign-off on design</w:t>
      </w:r>
    </w:p>
    <w:p w:rsidR="00000000" w:rsidRPr="00E261E6" w:rsidP="00E261E6">
      <w:pPr>
        <w:pStyle w:val="ListBullet"/>
      </w:pPr>
      <w:r w:rsidRPr="00E261E6">
        <w:t>documenting design with drawings, specifications and instructions.</w:t>
      </w:r>
    </w:p>
    <w:p w:rsidR="00000000" w:rsidRPr="00E261E6" w:rsidP="00E261E6">
      <w:pPr>
        <w:pStyle w:val="BodyText"/>
      </w:pPr>
    </w:p>
    <w:p w:rsidR="00000000" w:rsidRPr="00E261E6" w:rsidP="002A5262">
      <w:pPr>
        <w:pStyle w:val="BodyText"/>
      </w:pPr>
      <w:r w:rsidRPr="00E261E6">
        <w:t>Note: Where a volume and/or frequency is not specified, demonstration must be provided at l</w:t>
      </w:r>
      <w:r w:rsidRPr="00E261E6">
        <w:t>east once.</w:t>
      </w:r>
    </w:p>
    <w:p w:rsidR="00000000" w:rsidRPr="00E261E6" w:rsidP="00E261E6">
      <w:pPr>
        <w:pStyle w:val="Heading1"/>
      </w:pPr>
      <w:bookmarkStart w:id="3" w:name="O_944834"/>
      <w:bookmarkEnd w:id="3"/>
      <w:r w:rsidRPr="00E261E6">
        <w:t>Knowledge Evidence</w:t>
      </w:r>
    </w:p>
    <w:p w:rsidR="00000000" w:rsidRPr="00E261E6" w:rsidP="002A5262">
      <w:pPr>
        <w:pStyle w:val="BodyText"/>
      </w:pPr>
      <w:r w:rsidRPr="00E261E6">
        <w:t>Evidence required to demonstrate the required knowledge for this unit must be relevant to and satisfy the requirements of the elements and performance criteria and include knowledge of:</w:t>
      </w:r>
    </w:p>
    <w:p w:rsidR="00000000" w:rsidRPr="00E261E6" w:rsidP="00E261E6">
      <w:pPr>
        <w:pStyle w:val="ListBullet"/>
      </w:pPr>
      <w:r w:rsidRPr="00E261E6">
        <w:t>research and investiga</w:t>
      </w:r>
      <w:r w:rsidRPr="00E261E6">
        <w:t>tion methods</w:t>
      </w:r>
    </w:p>
    <w:p w:rsidR="00000000" w:rsidRPr="00E261E6" w:rsidP="00E261E6">
      <w:pPr>
        <w:pStyle w:val="ListBullet"/>
      </w:pPr>
      <w:r w:rsidRPr="00E261E6">
        <w:t>design brief parameters</w:t>
      </w:r>
    </w:p>
    <w:p w:rsidR="00000000" w:rsidRPr="00E261E6" w:rsidP="00E261E6">
      <w:pPr>
        <w:pStyle w:val="ListBullet"/>
      </w:pPr>
      <w:r w:rsidRPr="00E261E6">
        <w:t>techniques for:</w:t>
      </w:r>
    </w:p>
    <w:p w:rsidR="00000000" w:rsidRPr="00E261E6" w:rsidP="00E261E6">
      <w:pPr>
        <w:pStyle w:val="ListBullet2"/>
      </w:pPr>
      <w:r w:rsidRPr="00E261E6">
        <w:t>continuous improvement</w:t>
      </w:r>
    </w:p>
    <w:p w:rsidR="00000000" w:rsidRPr="00E261E6" w:rsidP="00E261E6">
      <w:pPr>
        <w:pStyle w:val="ListBullet2"/>
      </w:pPr>
      <w:r w:rsidRPr="00E261E6">
        <w:t>problem-solving and decision-making</w:t>
      </w:r>
    </w:p>
    <w:p w:rsidR="00000000" w:rsidRPr="00E261E6" w:rsidP="00E261E6">
      <w:pPr>
        <w:pStyle w:val="ListBullet2"/>
      </w:pPr>
      <w:r w:rsidRPr="00E261E6">
        <w:t>root cause analysis (RCA) or failure mode and effects analysis (FMEA) or design review based on failure mode (DRBFM), and Pareto analysis</w:t>
      </w:r>
    </w:p>
    <w:p w:rsidR="00000000" w:rsidRPr="00E261E6" w:rsidP="00E261E6">
      <w:pPr>
        <w:pStyle w:val="ListBullet"/>
      </w:pPr>
      <w:r w:rsidRPr="00E261E6">
        <w:t>contemporary engineering design methods</w:t>
      </w:r>
    </w:p>
    <w:p w:rsidR="00000000" w:rsidRPr="00E261E6" w:rsidP="00E261E6">
      <w:pPr>
        <w:pStyle w:val="ListBullet"/>
      </w:pPr>
      <w:r w:rsidRPr="00E261E6">
        <w:t>relevant engineering design software</w:t>
      </w:r>
    </w:p>
    <w:p w:rsidR="00000000" w:rsidRPr="00E261E6" w:rsidP="00E261E6">
      <w:pPr>
        <w:pStyle w:val="ListBullet"/>
      </w:pPr>
      <w:r w:rsidRPr="00E261E6">
        <w:t>design, research, modelling and computational methodologies applied to hydrodynamic pumping systems</w:t>
      </w:r>
    </w:p>
    <w:p w:rsidR="00000000" w:rsidRPr="00E261E6" w:rsidP="00E261E6">
      <w:pPr>
        <w:pStyle w:val="ListBullet"/>
      </w:pPr>
      <w:r w:rsidRPr="00E261E6">
        <w:t xml:space="preserve">documentation, drawings, specifications and instructions </w:t>
      </w:r>
    </w:p>
    <w:p w:rsidR="00000000" w:rsidRPr="00E261E6" w:rsidP="00E261E6">
      <w:pPr>
        <w:pStyle w:val="ListBullet"/>
      </w:pPr>
      <w:r w:rsidRPr="00E261E6">
        <w:t>WHS and regulatory re</w:t>
      </w:r>
      <w:r w:rsidRPr="00E261E6">
        <w:t>quirements, codes of practice, standards, risk minimisation and registration requirements</w:t>
      </w:r>
    </w:p>
    <w:p w:rsidR="00000000" w:rsidRPr="00E261E6" w:rsidP="00E261E6">
      <w:pPr>
        <w:pStyle w:val="ListBullet"/>
      </w:pPr>
      <w:r w:rsidRPr="00E261E6">
        <w:t>fundamentals of hydrodynamics including properties of substances and conservation of energy principles</w:t>
      </w:r>
    </w:p>
    <w:p w:rsidR="00000000" w:rsidRPr="00E261E6" w:rsidP="00E261E6">
      <w:pPr>
        <w:pStyle w:val="ListBullet"/>
      </w:pPr>
      <w:r w:rsidRPr="00E261E6">
        <w:t>types of pumps including centrifugal, rotary and reciprocating</w:t>
      </w:r>
    </w:p>
    <w:p w:rsidR="00000000" w:rsidRPr="00E261E6" w:rsidP="00E261E6">
      <w:pPr>
        <w:pStyle w:val="ListBullet"/>
      </w:pPr>
      <w:r w:rsidRPr="00E261E6">
        <w:t>pumping systems specifications including head equations, performance curves, valves, flow rates and efficiency</w:t>
      </w:r>
    </w:p>
    <w:p w:rsidR="00000000" w:rsidRPr="00E261E6" w:rsidP="00E261E6">
      <w:pPr>
        <w:pStyle w:val="ListBullet"/>
      </w:pPr>
      <w:r w:rsidRPr="00E261E6">
        <w:t>pump placements</w:t>
      </w:r>
    </w:p>
    <w:p w:rsidR="00000000" w:rsidRPr="00E261E6" w:rsidP="00E261E6">
      <w:pPr>
        <w:pStyle w:val="ListBullet"/>
      </w:pPr>
      <w:r w:rsidRPr="00E261E6">
        <w:t>cavitations</w:t>
      </w:r>
    </w:p>
    <w:p w:rsidR="00000000" w:rsidRPr="00E261E6" w:rsidP="00E261E6">
      <w:pPr>
        <w:pStyle w:val="ListBullet"/>
      </w:pPr>
      <w:r w:rsidRPr="00E261E6">
        <w:t>rotodynamic pump performance parameters and specifications</w:t>
      </w:r>
    </w:p>
    <w:p w:rsidR="00000000" w:rsidRPr="00E261E6" w:rsidP="00E261E6">
      <w:pPr>
        <w:pStyle w:val="ListBullet"/>
      </w:pPr>
      <w:r w:rsidRPr="00E261E6">
        <w:t>series and parallel pumps</w:t>
      </w:r>
    </w:p>
    <w:p w:rsidR="00000000" w:rsidRPr="00E261E6" w:rsidP="00E261E6">
      <w:pPr>
        <w:pStyle w:val="ListBullet"/>
      </w:pPr>
      <w:r w:rsidRPr="00E261E6">
        <w:t>practical pump installations and operation problems</w:t>
      </w:r>
    </w:p>
    <w:p w:rsidR="002A5262" w:rsidP="00E261E6">
      <w:pPr>
        <w:pStyle w:val="ListBullet"/>
      </w:pPr>
      <w:r w:rsidRPr="00E261E6">
        <w:t>pumping special fluids including viscous fluids, slurries, Newtonian and non-Newtonian fluids.</w:t>
      </w:r>
    </w:p>
    <w:p w:rsidR="002A5262" w:rsidP="00E261E6">
      <w:pPr>
        <w:pStyle w:val="ListBullet"/>
      </w:pPr>
    </w:p>
    <w:p w:rsidR="00000000" w:rsidRPr="00E261E6" w:rsidP="00E261E6">
      <w:pPr>
        <w:pStyle w:val="Heading1"/>
      </w:pPr>
      <w:bookmarkStart w:id="4" w:name="O_944833"/>
      <w:bookmarkEnd w:id="4"/>
      <w:r w:rsidRPr="00E261E6">
        <w:t>Assessment Conditions</w:t>
      </w:r>
    </w:p>
    <w:p w:rsidR="00000000" w:rsidRPr="00E261E6" w:rsidP="00E261E6">
      <w:pPr>
        <w:pStyle w:val="ListBullet"/>
      </w:pPr>
      <w:r w:rsidRPr="00E261E6">
        <w:t>Assessors must:</w:t>
      </w:r>
    </w:p>
    <w:p w:rsidR="00000000" w:rsidRPr="00E261E6" w:rsidP="00E261E6">
      <w:pPr>
        <w:pStyle w:val="ListBullet2"/>
      </w:pPr>
      <w:r w:rsidRPr="00E261E6">
        <w:t>have vocational competency in designing hydrodynami</w:t>
      </w:r>
      <w:r w:rsidRPr="00E261E6">
        <w:t>c pumping systems at least to the level being assessed with relevant industry knowledge and experience</w:t>
      </w:r>
    </w:p>
    <w:p w:rsidR="00000000" w:rsidRPr="00E261E6" w:rsidP="00E261E6">
      <w:pPr>
        <w:pStyle w:val="ListBullet2"/>
      </w:pPr>
      <w:r w:rsidRPr="00E261E6">
        <w:t xml:space="preserve">satisfy the assessor requirements in the </w:t>
      </w:r>
      <w:r w:rsidRPr="00E261E6">
        <w:rPr>
          <w:rStyle w:val="Emphasis"/>
        </w:rPr>
        <w:t xml:space="preserve">Standards for Registered Training Organisations 2015 or its replacement </w:t>
      </w:r>
      <w:r w:rsidRPr="00E261E6">
        <w:t xml:space="preserve">and comply with the </w:t>
      </w:r>
      <w:r w:rsidRPr="00E261E6">
        <w:rPr>
          <w:rStyle w:val="Emphasis"/>
        </w:rPr>
        <w:t xml:space="preserve">National Vocational </w:t>
      </w:r>
      <w:r w:rsidRPr="00E261E6">
        <w:rPr>
          <w:rStyle w:val="Emphasis"/>
        </w:rPr>
        <w:t xml:space="preserve">Education and Training Regulator Act 2011, </w:t>
      </w:r>
      <w:r w:rsidRPr="00E261E6">
        <w:t>its replacement</w:t>
      </w:r>
      <w:r w:rsidRPr="00E261E6">
        <w:rPr>
          <w:rStyle w:val="Emphasis"/>
        </w:rPr>
        <w:t xml:space="preserve"> </w:t>
      </w:r>
      <w:r w:rsidRPr="00E261E6">
        <w:t>or equivalent legislation covering VET regulation in a non-referring state/territory as the case requires.</w:t>
      </w:r>
    </w:p>
    <w:p w:rsidR="00000000" w:rsidRPr="00E261E6" w:rsidP="00E261E6">
      <w:pPr>
        <w:pStyle w:val="ListBullet"/>
      </w:pPr>
      <w:r w:rsidRPr="00E261E6">
        <w:t>Where possible assessment must occur in operational workplace situations. Where this is n</w:t>
      </w:r>
      <w:r w:rsidRPr="00E261E6">
        <w:t>ot possible or where personal safety or environmental damage are limiting factors, assessment must occur in a sufficiently rigorous simulated environment that reflects realistic operational workplace conditions that cover all aspects of workplace performan</w:t>
      </w:r>
      <w:r w:rsidRPr="00E261E6">
        <w:t>ce, including environment, task skills, task management skills, contingency management skills and job role environment skills.</w:t>
      </w:r>
    </w:p>
    <w:p w:rsidR="00000000" w:rsidRPr="00E261E6" w:rsidP="00E261E6">
      <w:pPr>
        <w:pStyle w:val="ListBullet"/>
      </w:pPr>
      <w:r w:rsidRPr="00E261E6">
        <w:t>Conditions for assessment must include access to all tools, equipment, materials and documentation required including relevant wo</w:t>
      </w:r>
      <w:r w:rsidRPr="00E261E6">
        <w:t>rkplace procedures, product and manufacturing specifications.</w:t>
      </w:r>
    </w:p>
    <w:p w:rsidR="002A5262" w:rsidP="00E261E6">
      <w:pPr>
        <w:pStyle w:val="ListBullet"/>
      </w:pPr>
      <w:r w:rsidRPr="00E261E6">
        <w:t>Assessment processes and techniques must be appropriate to the language, literacy and numeracy requirements of the work being performed and the needs of the candidate.</w:t>
      </w:r>
    </w:p>
    <w:p w:rsidR="002A5262" w:rsidP="00E261E6">
      <w:pPr>
        <w:pStyle w:val="ListBullet"/>
      </w:pPr>
    </w:p>
    <w:p w:rsidR="00000000" w:rsidRPr="00E261E6" w:rsidP="00E261E6">
      <w:pPr>
        <w:pStyle w:val="Heading1"/>
      </w:pPr>
      <w:bookmarkStart w:id="5" w:name="O_944831"/>
      <w:bookmarkEnd w:id="5"/>
      <w:r w:rsidRPr="00E261E6">
        <w:t>Links</w:t>
      </w:r>
    </w:p>
    <w:p w:rsidR="00000000" w:rsidRPr="00E261E6" w:rsidP="002A5262">
      <w:pPr>
        <w:pStyle w:val="BodyText"/>
      </w:pPr>
      <w:r w:rsidRPr="00E261E6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675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61E6" w:rsidP="00E261E6"/>
    <w:sectPr w:rsidSect="00E261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E6" w:rsidRPr="002A5262" w:rsidP="002A5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62" w:rsidP="00E26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262" w:rsidP="00E26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5262" w:rsidP="00E26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1E6" w:rsidRPr="002A5262" w:rsidP="002A5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62" w:rsidRPr="002D2AF8" w:rsidP="00E26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MEM234005 Design hydrodynamic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A5262" w:rsidP="00E26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3A5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D69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A64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1E6"/>
  </w:style>
  <w:style w:type="character" w:customStyle="1" w:styleId="Heading1Char">
    <w:name w:val="Heading 1 Char"/>
    <w:basedOn w:val="DefaultParagraphFont"/>
    <w:link w:val="Heading1"/>
    <w:rsid w:val="00E26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1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61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61E6"/>
    <w:rPr>
      <w:i/>
    </w:rPr>
  </w:style>
  <w:style w:type="paragraph" w:customStyle="1" w:styleId="SuperHeading">
    <w:name w:val="SuperHeading"/>
    <w:basedOn w:val="Normal"/>
    <w:rsid w:val="00E26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1E6"/>
    <w:rPr>
      <w:b/>
      <w:spacing w:val="0"/>
    </w:rPr>
  </w:style>
  <w:style w:type="paragraph" w:customStyle="1" w:styleId="SuperTitle">
    <w:name w:val="SuperTitle"/>
    <w:basedOn w:val="Title"/>
    <w:rsid w:val="00E26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1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1E6"/>
  </w:style>
  <w:style w:type="paragraph" w:styleId="TableofFigures">
    <w:name w:val="table of figures"/>
    <w:basedOn w:val="Normal"/>
    <w:next w:val="Normal"/>
    <w:semiHidden/>
    <w:rsid w:val="00E26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1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61E6"/>
    <w:rPr>
      <w:rFonts w:ascii="Wingdings" w:hAnsi="Wingdings"/>
    </w:rPr>
  </w:style>
  <w:style w:type="paragraph" w:customStyle="1" w:styleId="TableHeading">
    <w:name w:val="Table Heading"/>
    <w:basedOn w:val="HeadingBase"/>
    <w:rsid w:val="00E26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1E6"/>
    <w:rPr>
      <w:color w:val="0033CC"/>
      <w:u w:val="none"/>
    </w:rPr>
  </w:style>
  <w:style w:type="paragraph" w:customStyle="1" w:styleId="BodyTextRight">
    <w:name w:val="Body Text Right"/>
    <w:basedOn w:val="BodyText"/>
    <w:rsid w:val="00E26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1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1E6"/>
    <w:rPr>
      <w:sz w:val="32"/>
    </w:rPr>
  </w:style>
  <w:style w:type="paragraph" w:customStyle="1" w:styleId="HeadingProcedure">
    <w:name w:val="Heading Procedure"/>
    <w:basedOn w:val="HeadingBase"/>
    <w:next w:val="Normal"/>
    <w:rsid w:val="00E26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1E6"/>
    <w:pPr>
      <w:spacing w:before="60" w:after="60"/>
    </w:pPr>
  </w:style>
  <w:style w:type="paragraph" w:styleId="ListContinue">
    <w:name w:val="List Continue"/>
    <w:basedOn w:val="List"/>
    <w:rsid w:val="00E261E6"/>
    <w:pPr>
      <w:ind w:firstLine="0"/>
    </w:pPr>
  </w:style>
  <w:style w:type="paragraph" w:customStyle="1" w:styleId="ListNote">
    <w:name w:val="List Note"/>
    <w:basedOn w:val="List"/>
    <w:rsid w:val="00E26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1E6"/>
    <w:rPr>
      <w:rFonts w:ascii="Courier New" w:hAnsi="Courier New"/>
    </w:rPr>
  </w:style>
  <w:style w:type="paragraph" w:customStyle="1" w:styleId="NoteBullet">
    <w:name w:val="Note Bullet"/>
    <w:basedOn w:val="Note"/>
    <w:rsid w:val="00E26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1E6"/>
    <w:rPr>
      <w:b/>
      <w:smallCaps/>
    </w:rPr>
  </w:style>
  <w:style w:type="paragraph" w:customStyle="1" w:styleId="TableListNumber">
    <w:name w:val="Table List Number"/>
    <w:basedOn w:val="ListNumber"/>
    <w:rsid w:val="00E26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1E6"/>
    <w:pPr>
      <w:numPr>
        <w:numId w:val="9"/>
      </w:numPr>
    </w:pPr>
  </w:style>
  <w:style w:type="paragraph" w:customStyle="1" w:styleId="ListAlpha2">
    <w:name w:val="List Alpha 2"/>
    <w:basedOn w:val="List2"/>
    <w:rsid w:val="00E261E6"/>
    <w:pPr>
      <w:numPr>
        <w:numId w:val="8"/>
      </w:numPr>
    </w:pPr>
  </w:style>
  <w:style w:type="paragraph" w:styleId="List2">
    <w:name w:val="List 2"/>
    <w:basedOn w:val="BodyText"/>
    <w:rsid w:val="00E26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1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61E6"/>
    <w:pPr>
      <w:numPr>
        <w:numId w:val="4"/>
      </w:numPr>
    </w:pPr>
  </w:style>
  <w:style w:type="paragraph" w:styleId="ListContinue2">
    <w:name w:val="List Continue 2"/>
    <w:basedOn w:val="List2"/>
    <w:rsid w:val="00E261E6"/>
    <w:pPr>
      <w:ind w:firstLine="0"/>
    </w:pPr>
  </w:style>
  <w:style w:type="paragraph" w:styleId="ListContinue3">
    <w:name w:val="List Continue 3"/>
    <w:basedOn w:val="List3"/>
    <w:rsid w:val="00E261E6"/>
    <w:pPr>
      <w:ind w:left="1021" w:firstLine="0"/>
    </w:pPr>
  </w:style>
  <w:style w:type="paragraph" w:styleId="ListContinue4">
    <w:name w:val="List Continue 4"/>
    <w:basedOn w:val="List4"/>
    <w:rsid w:val="00E261E6"/>
    <w:pPr>
      <w:ind w:firstLine="0"/>
    </w:pPr>
  </w:style>
  <w:style w:type="paragraph" w:styleId="ListContinue5">
    <w:name w:val="List Continue 5"/>
    <w:basedOn w:val="List5"/>
    <w:rsid w:val="00E261E6"/>
    <w:pPr>
      <w:ind w:firstLine="0"/>
    </w:pPr>
  </w:style>
  <w:style w:type="paragraph" w:styleId="ListNumber3">
    <w:name w:val="List Number 3"/>
    <w:basedOn w:val="List3"/>
    <w:rsid w:val="00E261E6"/>
    <w:pPr>
      <w:numPr>
        <w:numId w:val="5"/>
      </w:numPr>
    </w:pPr>
  </w:style>
  <w:style w:type="paragraph" w:styleId="ListNumber4">
    <w:name w:val="List Number 4"/>
    <w:basedOn w:val="List4"/>
    <w:rsid w:val="00E261E6"/>
    <w:pPr>
      <w:numPr>
        <w:numId w:val="6"/>
      </w:numPr>
    </w:pPr>
  </w:style>
  <w:style w:type="paragraph" w:styleId="ListNumber5">
    <w:name w:val="List Number 5"/>
    <w:basedOn w:val="List5"/>
    <w:rsid w:val="00E261E6"/>
    <w:pPr>
      <w:numPr>
        <w:numId w:val="7"/>
      </w:numPr>
    </w:pPr>
  </w:style>
  <w:style w:type="paragraph" w:styleId="BlockText">
    <w:name w:val="Block Text"/>
    <w:basedOn w:val="Normal"/>
    <w:rsid w:val="00E26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1E6"/>
    <w:rPr>
      <w:sz w:val="16"/>
      <w:vertAlign w:val="superscript"/>
    </w:rPr>
  </w:style>
  <w:style w:type="character" w:customStyle="1" w:styleId="Symbols">
    <w:name w:val="Symbols"/>
    <w:basedOn w:val="DefaultParagraphFont"/>
    <w:rsid w:val="00E261E6"/>
    <w:rPr>
      <w:rFonts w:ascii="Symbol" w:hAnsi="Symbol"/>
    </w:rPr>
  </w:style>
  <w:style w:type="character" w:customStyle="1" w:styleId="MenuOptions">
    <w:name w:val="Menu Options"/>
    <w:basedOn w:val="DefaultParagraphFont"/>
    <w:rsid w:val="00E26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1E6"/>
    <w:rPr>
      <w:b/>
    </w:rPr>
  </w:style>
  <w:style w:type="character" w:customStyle="1" w:styleId="Underlined">
    <w:name w:val="Underlined"/>
    <w:basedOn w:val="DefaultParagraphFont"/>
    <w:rsid w:val="00E261E6"/>
    <w:rPr>
      <w:u w:val="single"/>
    </w:rPr>
  </w:style>
  <w:style w:type="paragraph" w:customStyle="1" w:styleId="TableBodyTextRight">
    <w:name w:val="Table Body Text Right"/>
    <w:basedOn w:val="TableBodyText"/>
    <w:rsid w:val="00E26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1E6"/>
    <w:rPr>
      <w:sz w:val="18"/>
    </w:rPr>
  </w:style>
  <w:style w:type="paragraph" w:customStyle="1" w:styleId="BodySmallRight">
    <w:name w:val="Body Small Right"/>
    <w:basedOn w:val="BodyTextRight"/>
    <w:rsid w:val="00E261E6"/>
    <w:rPr>
      <w:sz w:val="18"/>
      <w:szCs w:val="18"/>
    </w:rPr>
  </w:style>
  <w:style w:type="paragraph" w:customStyle="1" w:styleId="MarginEdition">
    <w:name w:val="Margin Edition"/>
    <w:basedOn w:val="MarginNote"/>
    <w:rsid w:val="00E26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1E6"/>
    <w:rPr>
      <w:sz w:val="2"/>
      <w:szCs w:val="2"/>
    </w:rPr>
  </w:style>
  <w:style w:type="character" w:customStyle="1" w:styleId="Small">
    <w:name w:val="Small"/>
    <w:basedOn w:val="DefaultParagraphFont"/>
    <w:rsid w:val="00E261E6"/>
    <w:rPr>
      <w:sz w:val="16"/>
    </w:rPr>
  </w:style>
  <w:style w:type="paragraph" w:customStyle="1" w:styleId="WideTable">
    <w:name w:val="Wide Table"/>
    <w:basedOn w:val="Normal"/>
    <w:rsid w:val="00E26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1E6"/>
  </w:style>
  <w:style w:type="paragraph" w:styleId="Quote">
    <w:name w:val="Quote"/>
    <w:basedOn w:val="Heading1"/>
    <w:link w:val="QuoteChar"/>
    <w:qFormat/>
    <w:rsid w:val="00E26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1E6"/>
    <w:pPr>
      <w:pageBreakBefore/>
    </w:pPr>
  </w:style>
  <w:style w:type="paragraph" w:customStyle="1" w:styleId="Border">
    <w:name w:val="Border"/>
    <w:basedOn w:val="Normal"/>
    <w:qFormat/>
    <w:rsid w:val="00E26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1E6"/>
    <w:rPr>
      <w:u w:val="single"/>
    </w:rPr>
  </w:style>
  <w:style w:type="character" w:customStyle="1" w:styleId="BoldandItalics">
    <w:name w:val="Bold and Italics"/>
    <w:qFormat/>
    <w:rsid w:val="00E261E6"/>
    <w:rPr>
      <w:b/>
      <w:i/>
      <w:u w:val="none"/>
    </w:rPr>
  </w:style>
  <w:style w:type="paragraph" w:styleId="BalloonText">
    <w:name w:val="Balloon Text"/>
    <w:basedOn w:val="Normal"/>
    <w:link w:val="BalloonTextChar"/>
    <w:rsid w:val="00E26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1E6"/>
    <w:pPr>
      <w:spacing w:before="0" w:after="0"/>
    </w:pPr>
  </w:style>
  <w:style w:type="paragraph" w:customStyle="1" w:styleId="BodyTextBold">
    <w:name w:val="Body Text Bold"/>
    <w:basedOn w:val="BodyText"/>
    <w:qFormat/>
    <w:rsid w:val="00E261E6"/>
    <w:rPr>
      <w:b/>
    </w:rPr>
  </w:style>
  <w:style w:type="character" w:styleId="Hyperlink">
    <w:name w:val="Hyperlink"/>
    <w:basedOn w:val="DefaultParagraphFont"/>
    <w:uiPriority w:val="99"/>
    <w:unhideWhenUsed/>
    <w:rsid w:val="002A5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3815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MEM234005 Design hydrodynamic pumping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