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4029" w:rsidP="004240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MEM234003 Design machines and ancillary equipment</w:t>
      </w:r>
      <w:r>
        <w:fldChar w:fldCharType="end"/>
      </w:r>
    </w:p>
    <w:p w:rsidR="00424029" w:rsidP="00424029">
      <w:pPr>
        <w:pStyle w:val="Version"/>
        <w:sectPr w:rsidSect="000E23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E23A9" w:rsidP="000E23A9">
      <w:pPr>
        <w:pStyle w:val="SuperHeading"/>
      </w:pPr>
      <w:r w:rsidRPr="000E23A9">
        <w:t>Assessment Requirements for MEM234003 Design machines and ancillary equipment</w:t>
      </w:r>
    </w:p>
    <w:p w:rsidR="00000000" w:rsidRPr="000E23A9" w:rsidP="000E23A9">
      <w:pPr>
        <w:pStyle w:val="Heading1"/>
      </w:pPr>
      <w:bookmarkStart w:id="1" w:name="O_944794"/>
      <w:bookmarkEnd w:id="1"/>
      <w:r w:rsidRPr="000E23A9">
        <w:t>Modification History</w:t>
      </w:r>
    </w:p>
    <w:p w:rsidR="00000000" w:rsidRPr="000E23A9" w:rsidP="00424029">
      <w:pPr>
        <w:pStyle w:val="BodyText"/>
      </w:pPr>
      <w:r w:rsidRPr="000E23A9">
        <w:t>Release 1. Supersedes and is equivalent to MEM234003A Design machines and ancillary equipment.</w:t>
      </w:r>
    </w:p>
    <w:p w:rsidR="00000000" w:rsidRPr="000E23A9" w:rsidP="000E23A9">
      <w:pPr>
        <w:pStyle w:val="Heading1"/>
      </w:pPr>
      <w:bookmarkStart w:id="2" w:name="O_944797"/>
      <w:bookmarkEnd w:id="2"/>
      <w:r w:rsidRPr="000E23A9">
        <w:t>Performance Evidence</w:t>
      </w:r>
    </w:p>
    <w:p w:rsidR="00000000" w:rsidRPr="000E23A9" w:rsidP="00424029">
      <w:pPr>
        <w:pStyle w:val="BodyText"/>
      </w:pPr>
      <w:r w:rsidRPr="000E23A9">
        <w:t>Evidence required to demonstrate competence in this unit must be relevant to and satisfy the requirements of the elements and performance criteria and include:</w:t>
      </w:r>
    </w:p>
    <w:p w:rsidR="00000000" w:rsidRPr="000E23A9" w:rsidP="000E23A9">
      <w:pPr>
        <w:pStyle w:val="ListBullet"/>
      </w:pPr>
      <w:r w:rsidRPr="000E23A9">
        <w:t>determining features of machines and equipment</w:t>
      </w:r>
    </w:p>
    <w:p w:rsidR="00000000" w:rsidRPr="000E23A9" w:rsidP="000E23A9">
      <w:pPr>
        <w:pStyle w:val="ListBullet"/>
      </w:pPr>
      <w:r w:rsidRPr="000E23A9">
        <w:t>determining work health and safety (WHS), regula</w:t>
      </w:r>
      <w:r w:rsidRPr="000E23A9">
        <w:t>tory and risk management requirements</w:t>
      </w:r>
    </w:p>
    <w:p w:rsidR="00000000" w:rsidRPr="000E23A9" w:rsidP="000E23A9">
      <w:pPr>
        <w:pStyle w:val="ListBullet"/>
      </w:pPr>
      <w:r w:rsidRPr="000E23A9">
        <w:t>interpreting parameters of the brief or contract</w:t>
      </w:r>
    </w:p>
    <w:p w:rsidR="00000000" w:rsidRPr="000E23A9" w:rsidP="000E23A9">
      <w:pPr>
        <w:pStyle w:val="ListBullet"/>
      </w:pPr>
      <w:r w:rsidRPr="000E23A9">
        <w:t>researching current design trends and sustainability implications</w:t>
      </w:r>
    </w:p>
    <w:p w:rsidR="00000000" w:rsidRPr="000E23A9" w:rsidP="000E23A9">
      <w:pPr>
        <w:pStyle w:val="ListBullet"/>
      </w:pPr>
      <w:r w:rsidRPr="000E23A9">
        <w:t>investigating options for machine and equipment design on at least two occasions</w:t>
      </w:r>
    </w:p>
    <w:p w:rsidR="00000000" w:rsidRPr="000E23A9" w:rsidP="000E23A9">
      <w:pPr>
        <w:pStyle w:val="ListBullet"/>
      </w:pPr>
      <w:r w:rsidRPr="000E23A9">
        <w:t>innovating and creatin</w:t>
      </w:r>
      <w:r w:rsidRPr="000E23A9">
        <w:t>g solutions</w:t>
      </w:r>
    </w:p>
    <w:p w:rsidR="00000000" w:rsidRPr="000E23A9" w:rsidP="000E23A9">
      <w:pPr>
        <w:pStyle w:val="ListBullet"/>
      </w:pPr>
      <w:r w:rsidRPr="000E23A9">
        <w:t>generating design solutions on at least two occasions</w:t>
      </w:r>
    </w:p>
    <w:p w:rsidR="00000000" w:rsidRPr="000E23A9" w:rsidP="000E23A9">
      <w:pPr>
        <w:pStyle w:val="ListBullet"/>
      </w:pPr>
      <w:r w:rsidRPr="000E23A9">
        <w:t>measuring, modelling, calculating and analysing using software and validation techniques</w:t>
      </w:r>
    </w:p>
    <w:p w:rsidR="00000000" w:rsidRPr="000E23A9" w:rsidP="000E23A9">
      <w:pPr>
        <w:pStyle w:val="ListBullet"/>
      </w:pPr>
      <w:r w:rsidRPr="000E23A9">
        <w:t>evaluating solutions for feasibility against design criteria</w:t>
      </w:r>
    </w:p>
    <w:p w:rsidR="00000000" w:rsidRPr="000E23A9" w:rsidP="000E23A9">
      <w:pPr>
        <w:pStyle w:val="ListBullet"/>
      </w:pPr>
      <w:r w:rsidRPr="000E23A9">
        <w:t>communicating, negotiating and reviewing</w:t>
      </w:r>
      <w:r w:rsidRPr="000E23A9">
        <w:t xml:space="preserve"> with stakeholders and client throughout the process to obtain agreement of proposal and sign-off on design.</w:t>
      </w:r>
    </w:p>
    <w:p w:rsidR="00000000" w:rsidRPr="000E23A9" w:rsidP="000E23A9">
      <w:pPr>
        <w:pStyle w:val="BodyText"/>
      </w:pPr>
    </w:p>
    <w:p w:rsidR="00000000" w:rsidRPr="000E23A9" w:rsidP="00424029">
      <w:pPr>
        <w:pStyle w:val="BodyText"/>
      </w:pPr>
      <w:r w:rsidRPr="000E23A9">
        <w:t>Note: Where a volume and/or frequency is not specified, demonstration must be provided at least once.</w:t>
      </w:r>
    </w:p>
    <w:p w:rsidR="00000000" w:rsidRPr="000E23A9" w:rsidP="000E23A9">
      <w:pPr>
        <w:pStyle w:val="Heading1"/>
      </w:pPr>
      <w:bookmarkStart w:id="3" w:name="O_944796"/>
      <w:bookmarkEnd w:id="3"/>
      <w:r w:rsidRPr="000E23A9">
        <w:t>Knowledge Evidence</w:t>
      </w:r>
    </w:p>
    <w:p w:rsidR="00000000" w:rsidRPr="000E23A9" w:rsidP="00424029">
      <w:pPr>
        <w:pStyle w:val="BodyText"/>
      </w:pPr>
      <w:r w:rsidRPr="000E23A9">
        <w:t>Evidence</w:t>
      </w:r>
      <w:r w:rsidRPr="000E23A9">
        <w:t xml:space="preserve"> required to demonstrate the required knowledge for this unit must be relevant to and satisfy the requirements of the elements and performance criteria and include knowledge of:</w:t>
      </w:r>
    </w:p>
    <w:p w:rsidR="00000000" w:rsidRPr="000E23A9" w:rsidP="000E23A9">
      <w:pPr>
        <w:pStyle w:val="ListBullet"/>
      </w:pPr>
      <w:r w:rsidRPr="000E23A9">
        <w:t>contemporary engineering design methods</w:t>
      </w:r>
    </w:p>
    <w:p w:rsidR="00000000" w:rsidRPr="000E23A9" w:rsidP="000E23A9">
      <w:pPr>
        <w:pStyle w:val="ListBullet"/>
      </w:pPr>
      <w:r w:rsidRPr="000E23A9">
        <w:t>design brief parameters</w:t>
      </w:r>
    </w:p>
    <w:p w:rsidR="00000000" w:rsidRPr="000E23A9" w:rsidP="000E23A9">
      <w:pPr>
        <w:pStyle w:val="ListBullet"/>
      </w:pPr>
      <w:r w:rsidRPr="000E23A9">
        <w:t>research and investigation methods</w:t>
      </w:r>
    </w:p>
    <w:p w:rsidR="00000000" w:rsidRPr="000E23A9" w:rsidP="000E23A9">
      <w:pPr>
        <w:pStyle w:val="ListBullet"/>
      </w:pPr>
      <w:r w:rsidRPr="000E23A9">
        <w:t>techniques for:</w:t>
      </w:r>
    </w:p>
    <w:p w:rsidR="00000000" w:rsidRPr="000E23A9" w:rsidP="000E23A9">
      <w:pPr>
        <w:pStyle w:val="ListBullet2"/>
      </w:pPr>
      <w:r w:rsidRPr="000E23A9">
        <w:t>continuous improvement</w:t>
      </w:r>
    </w:p>
    <w:p w:rsidR="00000000" w:rsidRPr="000E23A9" w:rsidP="000E23A9">
      <w:pPr>
        <w:pStyle w:val="ListBullet2"/>
      </w:pPr>
      <w:r w:rsidRPr="000E23A9">
        <w:t>problem-solving and decision-making</w:t>
      </w:r>
    </w:p>
    <w:p w:rsidR="00000000" w:rsidRPr="000E23A9" w:rsidP="000E23A9">
      <w:pPr>
        <w:pStyle w:val="ListBullet2"/>
      </w:pPr>
      <w:r w:rsidRPr="000E23A9">
        <w:t>root cause analysis (RCA) or failure mode and effects analysis (FMEA) or design review based on failure mode (DRBFM), and Pareto analysis</w:t>
      </w:r>
    </w:p>
    <w:p w:rsidR="00000000" w:rsidRPr="000E23A9" w:rsidP="000E23A9">
      <w:pPr>
        <w:pStyle w:val="ListBullet"/>
      </w:pPr>
      <w:r w:rsidRPr="000E23A9">
        <w:t>engine</w:t>
      </w:r>
      <w:r w:rsidRPr="000E23A9">
        <w:t>ering design software options</w:t>
      </w:r>
    </w:p>
    <w:p w:rsidR="00000000" w:rsidRPr="000E23A9" w:rsidP="000E23A9">
      <w:pPr>
        <w:pStyle w:val="ListBullet"/>
      </w:pPr>
      <w:r w:rsidRPr="000E23A9">
        <w:t>software validation processes</w:t>
      </w:r>
    </w:p>
    <w:p w:rsidR="00000000" w:rsidRPr="000E23A9" w:rsidP="000E23A9">
      <w:pPr>
        <w:pStyle w:val="ListBullet"/>
      </w:pPr>
      <w:r w:rsidRPr="000E23A9">
        <w:t>documentation, drawings, specifications and instructions</w:t>
      </w:r>
    </w:p>
    <w:p w:rsidR="00000000" w:rsidRPr="000E23A9" w:rsidP="000E23A9">
      <w:pPr>
        <w:pStyle w:val="ListBullet"/>
      </w:pPr>
      <w:r w:rsidRPr="000E23A9">
        <w:t>WHS and regulatory requirements, codes of practice, standards, risk minimisation and registration requirements</w:t>
      </w:r>
    </w:p>
    <w:p w:rsidR="00000000" w:rsidRPr="000E23A9" w:rsidP="000E23A9">
      <w:pPr>
        <w:pStyle w:val="ListBullet"/>
      </w:pPr>
      <w:r w:rsidRPr="000E23A9">
        <w:t>machine element assembly arr</w:t>
      </w:r>
      <w:r w:rsidRPr="000E23A9">
        <w:t>angements and methods</w:t>
      </w:r>
    </w:p>
    <w:p w:rsidR="00000000" w:rsidRPr="000E23A9" w:rsidP="000E23A9">
      <w:pPr>
        <w:pStyle w:val="ListBullet"/>
      </w:pPr>
      <w:r w:rsidRPr="000E23A9">
        <w:t>fastening and sealing methods</w:t>
      </w:r>
    </w:p>
    <w:p w:rsidR="00000000" w:rsidRPr="000E23A9" w:rsidP="000E23A9">
      <w:pPr>
        <w:pStyle w:val="ListBullet"/>
      </w:pPr>
      <w:r w:rsidRPr="000E23A9">
        <w:t>gear design standards and techniques</w:t>
      </w:r>
    </w:p>
    <w:p w:rsidR="00000000" w:rsidRPr="000E23A9" w:rsidP="000E23A9">
      <w:pPr>
        <w:pStyle w:val="ListBullet"/>
      </w:pPr>
      <w:r w:rsidRPr="000E23A9">
        <w:t>strength and stress analysis</w:t>
      </w:r>
    </w:p>
    <w:p w:rsidR="00000000" w:rsidRPr="000E23A9" w:rsidP="000E23A9">
      <w:pPr>
        <w:pStyle w:val="ListBullet"/>
      </w:pPr>
      <w:r w:rsidRPr="000E23A9">
        <w:t>shaft design including:</w:t>
      </w:r>
    </w:p>
    <w:p w:rsidR="00000000" w:rsidRPr="000E23A9" w:rsidP="000E23A9">
      <w:pPr>
        <w:pStyle w:val="ListBullet2"/>
      </w:pPr>
      <w:r w:rsidRPr="000E23A9">
        <w:t>forces, stresses and deflections of coil springs</w:t>
      </w:r>
    </w:p>
    <w:p w:rsidR="00000000" w:rsidRPr="000E23A9" w:rsidP="000E23A9">
      <w:pPr>
        <w:pStyle w:val="ListBullet2"/>
      </w:pPr>
      <w:r w:rsidRPr="000E23A9">
        <w:t>stresses in thick-walled pressurise vessels and cylinders subject to shrink and press fitting</w:t>
      </w:r>
    </w:p>
    <w:p w:rsidR="00000000" w:rsidRPr="000E23A9" w:rsidP="000E23A9">
      <w:pPr>
        <w:pStyle w:val="ListBullet2"/>
      </w:pPr>
      <w:r w:rsidRPr="000E23A9">
        <w:t>disk, hydraulic and cone clutches</w:t>
      </w:r>
    </w:p>
    <w:p w:rsidR="00000000" w:rsidRPr="000E23A9" w:rsidP="000E23A9">
      <w:pPr>
        <w:pStyle w:val="ListBullet2"/>
      </w:pPr>
      <w:r w:rsidRPr="000E23A9">
        <w:t>velocity and acceleration analysis of mechanisms</w:t>
      </w:r>
    </w:p>
    <w:p w:rsidR="00000000" w:rsidRPr="000E23A9" w:rsidP="000E23A9">
      <w:pPr>
        <w:pStyle w:val="ListBullet2"/>
      </w:pPr>
      <w:r w:rsidRPr="000E23A9">
        <w:t>ergonomics principles</w:t>
      </w:r>
    </w:p>
    <w:p w:rsidR="00000000" w:rsidRPr="000E23A9" w:rsidP="000E23A9">
      <w:pPr>
        <w:pStyle w:val="ListBullet2"/>
      </w:pPr>
      <w:r w:rsidRPr="000E23A9">
        <w:t>materials selection</w:t>
      </w:r>
    </w:p>
    <w:p w:rsidR="00424029" w:rsidP="000E23A9">
      <w:pPr>
        <w:pStyle w:val="ListBullet2"/>
      </w:pPr>
      <w:r w:rsidRPr="000E23A9">
        <w:t>failure modes.</w:t>
      </w:r>
    </w:p>
    <w:p w:rsidR="00424029" w:rsidP="000E23A9">
      <w:pPr>
        <w:pStyle w:val="ListBullet2"/>
      </w:pPr>
    </w:p>
    <w:p w:rsidR="00000000" w:rsidRPr="000E23A9" w:rsidP="000E23A9">
      <w:pPr>
        <w:pStyle w:val="Heading1"/>
      </w:pPr>
      <w:bookmarkStart w:id="4" w:name="O_944795"/>
      <w:bookmarkEnd w:id="4"/>
      <w:r w:rsidRPr="000E23A9">
        <w:t>Asse</w:t>
      </w:r>
      <w:r w:rsidRPr="000E23A9">
        <w:t>ssment Conditions</w:t>
      </w:r>
    </w:p>
    <w:p w:rsidR="00000000" w:rsidRPr="000E23A9" w:rsidP="000E23A9">
      <w:pPr>
        <w:pStyle w:val="ListBullet"/>
      </w:pPr>
      <w:r w:rsidRPr="000E23A9">
        <w:t>Assessors must:</w:t>
      </w:r>
    </w:p>
    <w:p w:rsidR="00000000" w:rsidRPr="000E23A9" w:rsidP="000E23A9">
      <w:pPr>
        <w:pStyle w:val="ListBullet2"/>
      </w:pPr>
      <w:r w:rsidRPr="000E23A9">
        <w:t>have vocational competency in designing machines and ancillary equipment at least to the level being assessed with relevant industry knowledge and experience</w:t>
      </w:r>
    </w:p>
    <w:p w:rsidR="00000000" w:rsidRPr="000E23A9" w:rsidP="000E23A9">
      <w:pPr>
        <w:pStyle w:val="ListBullet2"/>
      </w:pPr>
      <w:r w:rsidRPr="000E23A9">
        <w:t xml:space="preserve">satisfy the assessor requirements in the </w:t>
      </w:r>
      <w:r w:rsidRPr="000E23A9">
        <w:rPr>
          <w:rStyle w:val="Emphasis"/>
        </w:rPr>
        <w:t>Standards for Registe</w:t>
      </w:r>
      <w:r w:rsidRPr="000E23A9">
        <w:rPr>
          <w:rStyle w:val="Emphasis"/>
        </w:rPr>
        <w:t xml:space="preserve">red Training Organisations 2015 or its replacement </w:t>
      </w:r>
      <w:r w:rsidRPr="000E23A9">
        <w:t xml:space="preserve">and comply with the </w:t>
      </w:r>
      <w:r w:rsidRPr="000E23A9">
        <w:rPr>
          <w:rStyle w:val="Emphasis"/>
        </w:rPr>
        <w:t xml:space="preserve">National Vocational Education and Training Regulator Act 2011, </w:t>
      </w:r>
      <w:r w:rsidRPr="000E23A9">
        <w:t>its replacement</w:t>
      </w:r>
      <w:r w:rsidRPr="000E23A9">
        <w:rPr>
          <w:rStyle w:val="Emphasis"/>
        </w:rPr>
        <w:t xml:space="preserve"> </w:t>
      </w:r>
      <w:r w:rsidRPr="000E23A9">
        <w:t>or equivalent legislation covering VET regulation in a non-referring state/territory as the case requires.</w:t>
      </w:r>
    </w:p>
    <w:p w:rsidR="00000000" w:rsidRPr="000E23A9" w:rsidP="000E23A9">
      <w:pPr>
        <w:pStyle w:val="ListBullet"/>
      </w:pPr>
      <w:r w:rsidRPr="000E23A9">
        <w:t>Where possible assessment must occur in operational workplace situations. Where this is not possible or where personal safety or environmental damage are limiting factors, assessment must occur in a sufficiently rigorous simulated environment that reflec</w:t>
      </w:r>
      <w:r w:rsidRPr="000E23A9">
        <w:t>ts realistic operational workplace conditions that cover all aspects of workplace performance, including environment, task skills, task management skills, contingency management skills and job role environment skills.</w:t>
      </w:r>
    </w:p>
    <w:p w:rsidR="00000000" w:rsidRPr="000E23A9" w:rsidP="000E23A9">
      <w:pPr>
        <w:pStyle w:val="ListBullet"/>
      </w:pPr>
      <w:r w:rsidRPr="000E23A9">
        <w:t>Condition</w:t>
      </w:r>
      <w:r w:rsidRPr="000E23A9">
        <w:t>s for assessment must include access to all tools, equipment, materials and documentation required including relevant workplace procedures, product and manufacturing specifications.</w:t>
      </w:r>
    </w:p>
    <w:p w:rsidR="00424029" w:rsidP="000E23A9">
      <w:pPr>
        <w:pStyle w:val="ListBullet"/>
      </w:pPr>
      <w:r w:rsidRPr="000E23A9">
        <w:t>Assessment processes and techniques must be appropriate to the language, l</w:t>
      </w:r>
      <w:r w:rsidRPr="000E23A9">
        <w:t>iteracy and numeracy requirements of the work being performed and the needs of the candidate.</w:t>
      </w:r>
    </w:p>
    <w:p w:rsidR="00424029" w:rsidP="000E23A9">
      <w:pPr>
        <w:pStyle w:val="ListBullet"/>
      </w:pPr>
    </w:p>
    <w:p w:rsidR="00000000" w:rsidRPr="000E23A9" w:rsidP="000E23A9">
      <w:pPr>
        <w:pStyle w:val="Heading1"/>
      </w:pPr>
      <w:bookmarkStart w:id="5" w:name="O_944793"/>
      <w:bookmarkEnd w:id="5"/>
      <w:r w:rsidRPr="000E23A9">
        <w:t>Links</w:t>
      </w:r>
    </w:p>
    <w:p w:rsidR="00000000" w:rsidRPr="000E23A9" w:rsidP="00424029">
      <w:pPr>
        <w:pStyle w:val="BodyText"/>
      </w:pPr>
      <w:r w:rsidRPr="000E23A9">
        <w:t xml:space="preserve">Companion Volume Implementation Guides are available on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685FBD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0E23A9" w:rsidP="000E23A9"/>
    <w:sectPr w:rsidSect="000E23A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3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3A9" w:rsidRPr="00424029" w:rsidP="004240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3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029" w:rsidP="000E23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24029" w:rsidP="000E23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24029" w:rsidP="000E23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3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0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23A9" w:rsidRPr="00424029" w:rsidP="004240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3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029" w:rsidRPr="002D2AF8" w:rsidP="000E23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MEM234003 Design machines and ancillary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424029" w:rsidP="000E23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7EE1A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60A7D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5CE6A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23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23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23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23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23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23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23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23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23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23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23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23A9"/>
  </w:style>
  <w:style w:type="character" w:customStyle="1" w:styleId="Heading1Char">
    <w:name w:val="Heading 1 Char"/>
    <w:basedOn w:val="DefaultParagraphFont"/>
    <w:link w:val="Heading1"/>
    <w:rsid w:val="000E23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23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23A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E23A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E23A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E23A9"/>
    <w:rPr>
      <w:i/>
    </w:rPr>
  </w:style>
  <w:style w:type="paragraph" w:customStyle="1" w:styleId="SuperHeading">
    <w:name w:val="SuperHeading"/>
    <w:basedOn w:val="Normal"/>
    <w:rsid w:val="000E23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23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E23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23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23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23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23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23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23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23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23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23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23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23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23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23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23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23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23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23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E23A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E23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E23A9"/>
    <w:rPr>
      <w:b/>
      <w:spacing w:val="0"/>
    </w:rPr>
  </w:style>
  <w:style w:type="paragraph" w:customStyle="1" w:styleId="SuperTitle">
    <w:name w:val="SuperTitle"/>
    <w:basedOn w:val="Title"/>
    <w:rsid w:val="000E23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23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23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E23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23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23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23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23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23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23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23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23A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E23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23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23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23A9"/>
  </w:style>
  <w:style w:type="paragraph" w:styleId="TableofFigures">
    <w:name w:val="table of figures"/>
    <w:basedOn w:val="Normal"/>
    <w:next w:val="Normal"/>
    <w:semiHidden/>
    <w:rsid w:val="000E23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23A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E23A9"/>
    <w:rPr>
      <w:rFonts w:ascii="Wingdings" w:hAnsi="Wingdings"/>
    </w:rPr>
  </w:style>
  <w:style w:type="paragraph" w:customStyle="1" w:styleId="TableHeading">
    <w:name w:val="Table Heading"/>
    <w:basedOn w:val="HeadingBase"/>
    <w:rsid w:val="000E23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23A9"/>
    <w:rPr>
      <w:color w:val="0033CC"/>
      <w:u w:val="none"/>
    </w:rPr>
  </w:style>
  <w:style w:type="paragraph" w:customStyle="1" w:styleId="BodyTextRight">
    <w:name w:val="Body Text Right"/>
    <w:basedOn w:val="BodyText"/>
    <w:rsid w:val="000E23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23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23A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23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23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23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23A9"/>
    <w:rPr>
      <w:sz w:val="32"/>
    </w:rPr>
  </w:style>
  <w:style w:type="paragraph" w:customStyle="1" w:styleId="HeadingProcedure">
    <w:name w:val="Heading Procedure"/>
    <w:basedOn w:val="HeadingBase"/>
    <w:next w:val="Normal"/>
    <w:rsid w:val="000E23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23A9"/>
    <w:pPr>
      <w:spacing w:before="60" w:after="60"/>
    </w:pPr>
  </w:style>
  <w:style w:type="paragraph" w:styleId="ListContinue">
    <w:name w:val="List Continue"/>
    <w:basedOn w:val="List"/>
    <w:rsid w:val="000E23A9"/>
    <w:pPr>
      <w:ind w:firstLine="0"/>
    </w:pPr>
  </w:style>
  <w:style w:type="paragraph" w:customStyle="1" w:styleId="ListNote">
    <w:name w:val="List Note"/>
    <w:basedOn w:val="List"/>
    <w:rsid w:val="000E23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23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23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23A9"/>
    <w:rPr>
      <w:rFonts w:ascii="Courier New" w:hAnsi="Courier New"/>
    </w:rPr>
  </w:style>
  <w:style w:type="paragraph" w:customStyle="1" w:styleId="NoteBullet">
    <w:name w:val="Note Bullet"/>
    <w:basedOn w:val="Note"/>
    <w:rsid w:val="000E23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23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23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23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23A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E23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23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23A9"/>
    <w:rPr>
      <w:b/>
      <w:smallCaps/>
    </w:rPr>
  </w:style>
  <w:style w:type="paragraph" w:customStyle="1" w:styleId="TableListNumber">
    <w:name w:val="Table List Number"/>
    <w:basedOn w:val="ListNumber"/>
    <w:rsid w:val="000E23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23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23A9"/>
    <w:pPr>
      <w:numPr>
        <w:numId w:val="9"/>
      </w:numPr>
    </w:pPr>
  </w:style>
  <w:style w:type="paragraph" w:customStyle="1" w:styleId="ListAlpha2">
    <w:name w:val="List Alpha 2"/>
    <w:basedOn w:val="List2"/>
    <w:rsid w:val="000E23A9"/>
    <w:pPr>
      <w:numPr>
        <w:numId w:val="8"/>
      </w:numPr>
    </w:pPr>
  </w:style>
  <w:style w:type="paragraph" w:styleId="List2">
    <w:name w:val="List 2"/>
    <w:basedOn w:val="BodyText"/>
    <w:rsid w:val="000E23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23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23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23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23A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23A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E23A9"/>
    <w:pPr>
      <w:numPr>
        <w:numId w:val="4"/>
      </w:numPr>
    </w:pPr>
  </w:style>
  <w:style w:type="paragraph" w:styleId="ListContinue2">
    <w:name w:val="List Continue 2"/>
    <w:basedOn w:val="List2"/>
    <w:rsid w:val="000E23A9"/>
    <w:pPr>
      <w:ind w:firstLine="0"/>
    </w:pPr>
  </w:style>
  <w:style w:type="paragraph" w:styleId="ListContinue3">
    <w:name w:val="List Continue 3"/>
    <w:basedOn w:val="List3"/>
    <w:rsid w:val="000E23A9"/>
    <w:pPr>
      <w:ind w:left="1021" w:firstLine="0"/>
    </w:pPr>
  </w:style>
  <w:style w:type="paragraph" w:styleId="ListContinue4">
    <w:name w:val="List Continue 4"/>
    <w:basedOn w:val="List4"/>
    <w:rsid w:val="000E23A9"/>
    <w:pPr>
      <w:ind w:firstLine="0"/>
    </w:pPr>
  </w:style>
  <w:style w:type="paragraph" w:styleId="ListContinue5">
    <w:name w:val="List Continue 5"/>
    <w:basedOn w:val="List5"/>
    <w:rsid w:val="000E23A9"/>
    <w:pPr>
      <w:ind w:firstLine="0"/>
    </w:pPr>
  </w:style>
  <w:style w:type="paragraph" w:styleId="ListNumber3">
    <w:name w:val="List Number 3"/>
    <w:basedOn w:val="List3"/>
    <w:rsid w:val="000E23A9"/>
    <w:pPr>
      <w:numPr>
        <w:numId w:val="5"/>
      </w:numPr>
    </w:pPr>
  </w:style>
  <w:style w:type="paragraph" w:styleId="ListNumber4">
    <w:name w:val="List Number 4"/>
    <w:basedOn w:val="List4"/>
    <w:rsid w:val="000E23A9"/>
    <w:pPr>
      <w:numPr>
        <w:numId w:val="6"/>
      </w:numPr>
    </w:pPr>
  </w:style>
  <w:style w:type="paragraph" w:styleId="ListNumber5">
    <w:name w:val="List Number 5"/>
    <w:basedOn w:val="List5"/>
    <w:rsid w:val="000E23A9"/>
    <w:pPr>
      <w:numPr>
        <w:numId w:val="7"/>
      </w:numPr>
    </w:pPr>
  </w:style>
  <w:style w:type="paragraph" w:styleId="BlockText">
    <w:name w:val="Block Text"/>
    <w:basedOn w:val="Normal"/>
    <w:rsid w:val="000E23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23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23A9"/>
    <w:rPr>
      <w:sz w:val="16"/>
      <w:vertAlign w:val="superscript"/>
    </w:rPr>
  </w:style>
  <w:style w:type="character" w:customStyle="1" w:styleId="Symbols">
    <w:name w:val="Symbols"/>
    <w:basedOn w:val="DefaultParagraphFont"/>
    <w:rsid w:val="000E23A9"/>
    <w:rPr>
      <w:rFonts w:ascii="Symbol" w:hAnsi="Symbol"/>
    </w:rPr>
  </w:style>
  <w:style w:type="character" w:customStyle="1" w:styleId="MenuOptions">
    <w:name w:val="Menu Options"/>
    <w:basedOn w:val="DefaultParagraphFont"/>
    <w:rsid w:val="000E23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23A9"/>
    <w:rPr>
      <w:b/>
    </w:rPr>
  </w:style>
  <w:style w:type="character" w:customStyle="1" w:styleId="Underlined">
    <w:name w:val="Underlined"/>
    <w:basedOn w:val="DefaultParagraphFont"/>
    <w:rsid w:val="000E23A9"/>
    <w:rPr>
      <w:u w:val="single"/>
    </w:rPr>
  </w:style>
  <w:style w:type="paragraph" w:customStyle="1" w:styleId="TableBodyTextRight">
    <w:name w:val="Table Body Text Right"/>
    <w:basedOn w:val="TableBodyText"/>
    <w:rsid w:val="000E23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23A9"/>
    <w:rPr>
      <w:sz w:val="18"/>
    </w:rPr>
  </w:style>
  <w:style w:type="paragraph" w:customStyle="1" w:styleId="BodySmallRight">
    <w:name w:val="Body Small Right"/>
    <w:basedOn w:val="BodyTextRight"/>
    <w:rsid w:val="000E23A9"/>
    <w:rPr>
      <w:sz w:val="18"/>
      <w:szCs w:val="18"/>
    </w:rPr>
  </w:style>
  <w:style w:type="paragraph" w:customStyle="1" w:styleId="MarginEdition">
    <w:name w:val="Margin Edition"/>
    <w:basedOn w:val="MarginNote"/>
    <w:rsid w:val="000E23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23A9"/>
    <w:rPr>
      <w:sz w:val="2"/>
      <w:szCs w:val="2"/>
    </w:rPr>
  </w:style>
  <w:style w:type="character" w:customStyle="1" w:styleId="Small">
    <w:name w:val="Small"/>
    <w:basedOn w:val="DefaultParagraphFont"/>
    <w:rsid w:val="000E23A9"/>
    <w:rPr>
      <w:sz w:val="16"/>
    </w:rPr>
  </w:style>
  <w:style w:type="paragraph" w:customStyle="1" w:styleId="WideTable">
    <w:name w:val="Wide Table"/>
    <w:basedOn w:val="Normal"/>
    <w:rsid w:val="000E23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23A9"/>
  </w:style>
  <w:style w:type="paragraph" w:styleId="Quote">
    <w:name w:val="Quote"/>
    <w:basedOn w:val="Heading1"/>
    <w:link w:val="QuoteChar"/>
    <w:qFormat/>
    <w:rsid w:val="000E23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23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23A9"/>
    <w:pPr>
      <w:pageBreakBefore/>
    </w:pPr>
  </w:style>
  <w:style w:type="paragraph" w:customStyle="1" w:styleId="Border">
    <w:name w:val="Border"/>
    <w:basedOn w:val="Normal"/>
    <w:qFormat/>
    <w:rsid w:val="000E23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23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23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23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23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23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23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23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23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23A9"/>
    <w:rPr>
      <w:u w:val="single"/>
    </w:rPr>
  </w:style>
  <w:style w:type="character" w:customStyle="1" w:styleId="BoldandItalics">
    <w:name w:val="Bold and Italics"/>
    <w:qFormat/>
    <w:rsid w:val="000E23A9"/>
    <w:rPr>
      <w:b/>
      <w:i/>
      <w:u w:val="none"/>
    </w:rPr>
  </w:style>
  <w:style w:type="paragraph" w:styleId="BalloonText">
    <w:name w:val="Balloon Text"/>
    <w:basedOn w:val="Normal"/>
    <w:link w:val="BalloonTextChar"/>
    <w:rsid w:val="000E23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23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23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23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23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23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23A9"/>
    <w:pPr>
      <w:spacing w:before="0" w:after="0"/>
    </w:pPr>
  </w:style>
  <w:style w:type="paragraph" w:customStyle="1" w:styleId="BodyTextBold">
    <w:name w:val="Body Text Bold"/>
    <w:basedOn w:val="BodyText"/>
    <w:qFormat/>
    <w:rsid w:val="000E23A9"/>
    <w:rPr>
      <w:b/>
    </w:rPr>
  </w:style>
  <w:style w:type="character" w:styleId="Hyperlink">
    <w:name w:val="Hyperlink"/>
    <w:basedOn w:val="DefaultParagraphFont"/>
    <w:uiPriority w:val="99"/>
    <w:unhideWhenUsed/>
    <w:rsid w:val="004240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528</Words>
  <Characters>3634</Characters>
  <Application>Microsoft Office Word</Application>
  <DocSecurity>0</DocSecurity>
  <Lines>84</Lines>
  <Paragraphs>61</Paragraphs>
  <ScaleCrop>false</ScaleCrop>
  <Company>Author-it Software Corporation Ltd.</Company>
  <LinksUpToDate>false</LinksUpToDate>
  <CharactersWithSpaces>4101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MEM234003 Design machines and ancillary equipment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2023-02-03T07:29:00Z</dcterms:created>
  <dcterms:modified xsi:type="dcterms:W3CDTF">2023-02-03T07:29:00Z</dcterms:modified>
</cp:coreProperties>
</file>