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565" w:rsidP="00C11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MEM234002 Integrate engineering technologies</w:t>
      </w:r>
      <w:r>
        <w:fldChar w:fldCharType="end"/>
      </w:r>
    </w:p>
    <w:p w:rsidR="00C11565" w:rsidP="00C11565">
      <w:pPr>
        <w:pStyle w:val="Version"/>
        <w:sectPr w:rsidSect="00C71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BAE" w:rsidP="00C71BAE">
      <w:pPr>
        <w:pStyle w:val="SuperHeading"/>
      </w:pPr>
      <w:r w:rsidRPr="00C71BAE">
        <w:t>MEM234002 Integrate engineering technologies</w:t>
      </w:r>
    </w:p>
    <w:p w:rsidR="00000000" w:rsidRPr="00C71BAE" w:rsidP="00C71BAE">
      <w:pPr>
        <w:pStyle w:val="Heading1"/>
      </w:pPr>
      <w:bookmarkStart w:id="1" w:name="O_944779"/>
      <w:bookmarkEnd w:id="1"/>
      <w:r w:rsidRPr="00C71BAE">
        <w:t>Modification History</w:t>
      </w:r>
    </w:p>
    <w:p w:rsidR="00000000" w:rsidRPr="00C71BAE" w:rsidP="00C11565">
      <w:pPr>
        <w:pStyle w:val="BodyText"/>
      </w:pPr>
      <w:r w:rsidRPr="00C71BAE">
        <w:t>Release 1. Supersedes and is equivalent to MEM234002A Integrate engineering technologies.</w:t>
      </w:r>
    </w:p>
    <w:p w:rsidR="00000000" w:rsidRPr="00C71BAE" w:rsidP="00C71BAE">
      <w:pPr>
        <w:pStyle w:val="Heading1"/>
      </w:pPr>
      <w:bookmarkStart w:id="2" w:name="O_944787"/>
      <w:bookmarkEnd w:id="2"/>
      <w:r w:rsidRPr="00C71BAE">
        <w:t>Application</w:t>
      </w:r>
    </w:p>
    <w:p w:rsidR="00000000" w:rsidRPr="00C71BAE" w:rsidP="00C11565">
      <w:pPr>
        <w:pStyle w:val="BodyText"/>
      </w:pPr>
      <w:r w:rsidRPr="00C71BAE">
        <w:t>This unit of competency defines the skills and knowledge required to integrate technologies, processes, components o</w:t>
      </w:r>
      <w:r w:rsidRPr="00C71BAE">
        <w:t>r equipment for engineering projects or operations. Apart from engineering considerations, the unit encompasses sustainability, work health and safety (WHS) and regulatory requirements and implications of the project.</w:t>
      </w:r>
    </w:p>
    <w:p w:rsidR="00000000" w:rsidRPr="00C71BAE" w:rsidP="00C11565">
      <w:pPr>
        <w:pStyle w:val="BodyText"/>
      </w:pPr>
      <w:r w:rsidRPr="00C71BAE">
        <w:t>This unit applies to individuals worki</w:t>
      </w:r>
      <w:r w:rsidRPr="00C71BAE">
        <w:t>ng as a Principal Technical Officer or in an equivalent engineering-related position who are required to integrate different technologies, processes, components or equipment.</w:t>
      </w:r>
    </w:p>
    <w:p w:rsidR="00000000" w:rsidRPr="00C71BAE" w:rsidP="00C11565">
      <w:pPr>
        <w:pStyle w:val="BodyText"/>
      </w:pPr>
      <w:r w:rsidRPr="00C71BAE">
        <w:t>Individuals completing this work either already have or are developing skills and</w:t>
      </w:r>
      <w:r w:rsidRPr="00C71BAE">
        <w:t xml:space="preserve"> experience inthe application of scientific principles, mathematics, materials, manufacturing processes, computer software for computer-aided design (CAD), system analysis, modelling and simulation, project work and risk management, and experience in the t</w:t>
      </w:r>
      <w:r w:rsidRPr="00C71BAE">
        <w:t>echnologies to be integrated.</w:t>
      </w:r>
    </w:p>
    <w:p w:rsidR="00000000" w:rsidRPr="00C71BAE" w:rsidP="00C11565">
      <w:pPr>
        <w:pStyle w:val="BodyText"/>
      </w:pPr>
      <w:r w:rsidRPr="00C71BAE">
        <w:t>No licensing, legislative or certification requirements apply to this unit at the time of publication.</w:t>
      </w:r>
    </w:p>
    <w:p w:rsidR="00000000" w:rsidRPr="00C71BAE" w:rsidP="00C71BAE">
      <w:pPr>
        <w:pStyle w:val="Heading1"/>
      </w:pPr>
      <w:bookmarkStart w:id="3" w:name="O_944786"/>
      <w:bookmarkEnd w:id="3"/>
      <w:r w:rsidRPr="00C71BAE">
        <w:t>Pre-requisite Unit</w:t>
      </w:r>
    </w:p>
    <w:p w:rsidR="00000000" w:rsidRPr="00C71BAE" w:rsidP="00C11565">
      <w:pPr>
        <w:pStyle w:val="BodyText"/>
      </w:pPr>
      <w:r w:rsidRPr="00C71BAE">
        <w:t>Nil</w:t>
      </w:r>
    </w:p>
    <w:p w:rsidR="00000000" w:rsidRPr="00C71BAE" w:rsidP="00C71BAE">
      <w:pPr>
        <w:pStyle w:val="Heading1"/>
      </w:pPr>
      <w:bookmarkStart w:id="4" w:name="O_944785"/>
      <w:bookmarkEnd w:id="4"/>
      <w:r w:rsidRPr="00C71BAE">
        <w:t>Competency Field</w:t>
      </w:r>
    </w:p>
    <w:p w:rsidR="00000000" w:rsidRPr="00C71BAE" w:rsidP="00C11565">
      <w:pPr>
        <w:pStyle w:val="BodyText"/>
      </w:pPr>
      <w:r w:rsidRPr="00C71BAE">
        <w:t>Engineering science</w:t>
      </w:r>
    </w:p>
    <w:p w:rsidR="00000000" w:rsidRPr="00C71BAE" w:rsidP="00C71BAE">
      <w:pPr>
        <w:pStyle w:val="Heading1"/>
      </w:pPr>
      <w:bookmarkStart w:id="5" w:name="O_944783"/>
      <w:bookmarkEnd w:id="5"/>
      <w:r w:rsidRPr="00C71BAE">
        <w:t>Elements and</w:t>
      </w:r>
      <w:r w:rsidRPr="00C71BAE">
        <w:t xml:space="preserve">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115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BodyText"/>
            </w:pPr>
            <w:r w:rsidRPr="00C71BA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rPr>
                <w:rStyle w:val="SpecialBold"/>
              </w:rPr>
              <w:t>Performance Criteria</w:t>
            </w:r>
          </w:p>
        </w:tc>
      </w:tr>
      <w:tr w:rsidTr="00C115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BodyText"/>
            </w:pPr>
            <w:r w:rsidRPr="00C71BAE">
              <w:rPr>
                <w:rStyle w:val="Emphasis"/>
              </w:rPr>
              <w:t xml:space="preserve">Elements describe the </w:t>
            </w:r>
            <w:r w:rsidRPr="00C71BAE">
              <w:t xml:space="preserve">essential </w:t>
            </w:r>
            <w:r w:rsidRPr="00C71BAE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5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1. Clarify the scope of the integration design</w:t>
            </w:r>
            <w:r w:rsidRPr="00C71BAE">
              <w:t xml:space="preserve"> task and elaborate the </w:t>
            </w:r>
            <w:r w:rsidRPr="00C71BAE">
              <w:t>specification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BodyText"/>
            </w:pPr>
            <w:r w:rsidRPr="00C71BAE">
              <w:t>1.1 Identify processes, machine, equipment, components and technologies covered by the integration task</w:t>
            </w:r>
          </w:p>
          <w:p w:rsidR="00000000" w:rsidRPr="00C71BAE" w:rsidP="00C71BAE">
            <w:pPr>
              <w:pStyle w:val="BodyText"/>
            </w:pPr>
            <w:r w:rsidRPr="00C71BAE">
              <w:t>1.2 Determine other parameters to the integration task</w:t>
            </w:r>
          </w:p>
          <w:p w:rsidR="00000000" w:rsidRPr="00C71BAE" w:rsidP="00C71BAE">
            <w:pPr>
              <w:pStyle w:val="BodyText"/>
            </w:pPr>
            <w:r w:rsidRPr="00C71BAE">
              <w:t>1.3 Determine stakeholders to be consulted</w:t>
            </w:r>
          </w:p>
          <w:p w:rsidR="00000000" w:rsidRPr="00C71BAE" w:rsidP="00C71BAE">
            <w:pPr>
              <w:pStyle w:val="BodyText"/>
            </w:pPr>
            <w:r w:rsidRPr="00C71BAE">
              <w:t>1.4 Determine if</w:t>
            </w:r>
            <w:r w:rsidRPr="00C71BAE">
              <w:t xml:space="preserve"> and when input and advice should be obtained from experts in other technical fields and disciplines</w:t>
            </w:r>
          </w:p>
          <w:p w:rsidR="00000000" w:rsidRPr="00C71BAE" w:rsidP="00C71BAE">
            <w:pPr>
              <w:pStyle w:val="BodyText"/>
            </w:pPr>
            <w:r w:rsidRPr="00C71BAE">
              <w:t>1.5 Assess WHS, regulatory, sustainability or environmental issues relevant to the integration task</w:t>
            </w:r>
          </w:p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1.6 Confirm brief, including budget and schedule, and p</w:t>
            </w:r>
            <w:r w:rsidRPr="00C71BAE">
              <w:t>rovide preliminary advice on feasibility</w:t>
            </w:r>
          </w:p>
        </w:tc>
      </w:tr>
      <w:tr w:rsidTr="00C115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2. Prepare integration analysis and concept proposal for designs or operational changes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BodyText"/>
            </w:pPr>
            <w:r w:rsidRPr="00C71BAE">
              <w:t>2.1 Carry out initial investigations into technologies and equipment to be integrated</w:t>
            </w:r>
          </w:p>
          <w:p w:rsidR="00000000" w:rsidRPr="00C71BAE" w:rsidP="00C71BAE">
            <w:pPr>
              <w:pStyle w:val="BodyText"/>
            </w:pPr>
            <w:r w:rsidRPr="00C71BAE">
              <w:t>2.2 Identify any existing or predesigned integration</w:t>
            </w:r>
          </w:p>
          <w:p w:rsidR="00000000" w:rsidRPr="00C71BAE" w:rsidP="00C71BAE">
            <w:pPr>
              <w:pStyle w:val="BodyText"/>
            </w:pPr>
            <w:r w:rsidRPr="00C71BAE">
              <w:t>2.3 Determine any special features of machines, equipment or processes that need to be considered</w:t>
            </w:r>
          </w:p>
          <w:p w:rsidR="00000000" w:rsidRPr="00C71BAE" w:rsidP="00C71BAE">
            <w:pPr>
              <w:pStyle w:val="BodyText"/>
            </w:pPr>
            <w:r w:rsidRPr="00C71BAE">
              <w:t>2.4 Carry out required analysis, modelling and calculations using appropriate software and validation tec</w:t>
            </w:r>
            <w:r w:rsidRPr="00C71BAE">
              <w:t>hniques</w:t>
            </w:r>
          </w:p>
          <w:p w:rsidR="00000000" w:rsidRPr="00C71BAE" w:rsidP="00C71BAE">
            <w:pPr>
              <w:pStyle w:val="BodyText"/>
            </w:pPr>
            <w:r w:rsidRPr="00C71BAE">
              <w:t>2.5 Obtain design or advice from experts in other technical fields and disciplines</w:t>
            </w:r>
          </w:p>
          <w:p w:rsidR="00000000" w:rsidRPr="00C71BAE" w:rsidP="00C71BAE">
            <w:pPr>
              <w:pStyle w:val="BodyText"/>
            </w:pPr>
            <w:r w:rsidRPr="00C71BAE">
              <w:t>2.6 Generate integration solutions that respond to the brief</w:t>
            </w:r>
          </w:p>
          <w:p w:rsidR="00000000" w:rsidRPr="00C71BAE" w:rsidP="00C71BAE">
            <w:pPr>
              <w:pStyle w:val="BodyText"/>
            </w:pPr>
            <w:r w:rsidRPr="00C71BAE">
              <w:t>2.7 Check feasibility and evaluate solutions against design criteria, project brief or operating specifi</w:t>
            </w:r>
            <w:r w:rsidRPr="00C71BAE">
              <w:t>cations, ensuring conformity to technical, economic and WHS requirements</w:t>
            </w:r>
          </w:p>
          <w:p w:rsidR="00000000" w:rsidRPr="00C71BAE" w:rsidP="00C71BAE">
            <w:pPr>
              <w:pStyle w:val="BodyText"/>
            </w:pPr>
            <w:r w:rsidRPr="00C71BAE">
              <w:t>2.8 Determine social and sustainability implications of solutions</w:t>
            </w:r>
          </w:p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2.9 Present integration concept proposals to client or supervisors</w:t>
            </w:r>
          </w:p>
        </w:tc>
      </w:tr>
      <w:tr w:rsidTr="00C115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3. Finalise integration strategy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BodyText"/>
            </w:pPr>
            <w:r w:rsidRPr="00C71BAE">
              <w:t>3.1 Evaluate con</w:t>
            </w:r>
            <w:r w:rsidRPr="00C71BAE">
              <w:t>cept proposals with client and select preferred solution</w:t>
            </w:r>
          </w:p>
          <w:p w:rsidR="00000000" w:rsidRPr="00C71BAE" w:rsidP="00C71BAE">
            <w:pPr>
              <w:pStyle w:val="BodyText"/>
            </w:pPr>
            <w:r w:rsidRPr="00C71BAE">
              <w:t>3.2 Finalise selected integration strategy, including design elements or modifications and implementation strategy, ensuring preparation of all required documentation, drawings, specifications and in</w:t>
            </w:r>
            <w:r w:rsidRPr="00C71BAE">
              <w:t>structions</w:t>
            </w:r>
          </w:p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3.3 Consult with client and stakeholders to obtain sign-off on integration strategy and documentation</w:t>
            </w:r>
          </w:p>
        </w:tc>
      </w:tr>
      <w:tr w:rsidTr="00C115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4. Implement integrated engineering technologies strategy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BodyText"/>
            </w:pPr>
            <w:r w:rsidRPr="00C71BAE">
              <w:t>4.1 Monitor and support prototyping or testing of machine, process or technology using selected integrated engineering strategy</w:t>
            </w:r>
          </w:p>
          <w:p w:rsidR="00000000" w:rsidRPr="00C71BAE" w:rsidP="00C71BAE">
            <w:pPr>
              <w:pStyle w:val="BodyText"/>
            </w:pPr>
            <w:r w:rsidRPr="00C71BAE">
              <w:t>4.2 Analyse performance against strategy and internal or external client specifications</w:t>
            </w:r>
          </w:p>
          <w:p w:rsidR="00000000" w:rsidRPr="00C71BAE" w:rsidP="00C71BAE">
            <w:pPr>
              <w:pStyle w:val="BodyText"/>
            </w:pPr>
            <w:r w:rsidRPr="00C71BAE">
              <w:t>4.3 Adjust strategy as required based on</w:t>
            </w:r>
            <w:r w:rsidRPr="00C71BAE">
              <w:t xml:space="preserve"> performance analysis</w:t>
            </w:r>
          </w:p>
          <w:p w:rsidR="00000000" w:rsidRPr="00C71BAE" w:rsidP="00C71BAE">
            <w:pPr>
              <w:pStyle w:val="BodyText"/>
            </w:pPr>
            <w:r w:rsidRPr="00C71BAE">
              <w:t xml:space="preserve">4.4 Obtain sign-off and oversight production of adjusted documentation, </w:t>
            </w:r>
            <w:r w:rsidRPr="00C71BAE">
              <w:t>drawings, specifications and instructions</w:t>
            </w:r>
          </w:p>
          <w:p w:rsidR="00000000" w:rsidRPr="00C71BAE" w:rsidP="00C71BAE">
            <w:pPr>
              <w:pStyle w:val="BodyText"/>
            </w:pPr>
            <w:r w:rsidRPr="00C71BAE">
              <w:t>4.5 Communicate and negotiate with stakeholders to address issues associated with design and resources adjustments</w:t>
            </w:r>
          </w:p>
          <w:p w:rsidR="00000000" w:rsidRPr="00C71BAE" w:rsidP="00C71BAE">
            <w:pPr>
              <w:pStyle w:val="BodyText"/>
            </w:pPr>
            <w:r w:rsidRPr="00C71BAE">
              <w:t>4.6 E</w:t>
            </w:r>
            <w:r w:rsidRPr="00C71BAE">
              <w:t>nsure design and implementation documentation and records are maintained in accordance with organisational requirements</w:t>
            </w:r>
          </w:p>
        </w:tc>
      </w:tr>
    </w:tbl>
    <w:p w:rsidR="00C11565" w:rsidP="00C71BAE">
      <w:pPr>
        <w:pStyle w:val="BodyText"/>
      </w:pPr>
    </w:p>
    <w:p w:rsidR="00C11565" w:rsidP="00C71BAE">
      <w:pPr>
        <w:pStyle w:val="BodyText"/>
      </w:pPr>
    </w:p>
    <w:p w:rsidR="00000000" w:rsidRPr="00C71BAE" w:rsidP="00C71BAE">
      <w:pPr>
        <w:pStyle w:val="Heading1"/>
      </w:pPr>
      <w:bookmarkStart w:id="6" w:name="O_944782"/>
      <w:bookmarkEnd w:id="6"/>
      <w:r w:rsidRPr="00C71BAE">
        <w:t>Foundation Skills</w:t>
      </w:r>
    </w:p>
    <w:p w:rsidR="00000000" w:rsidRPr="00C71BAE" w:rsidP="00C11565">
      <w:pPr>
        <w:pStyle w:val="BodyText"/>
      </w:pPr>
      <w:r w:rsidRPr="00C71BAE">
        <w:t>This section describes those language, literacy, numeracy and employment skills that are essential</w:t>
      </w:r>
      <w:r w:rsidRPr="00C71BAE">
        <w:t xml:space="preserve"> to performance.</w:t>
      </w:r>
    </w:p>
    <w:p w:rsidR="00000000" w:rsidRPr="00C71BAE" w:rsidP="00C11565">
      <w:pPr>
        <w:pStyle w:val="BodyText"/>
      </w:pPr>
      <w:r w:rsidRPr="00C71BAE">
        <w:t>Foundation skills essential to performance are explicit in the performance criteria of this unit of competency.</w:t>
      </w:r>
    </w:p>
    <w:p w:rsidR="00000000" w:rsidRPr="00C71BAE" w:rsidP="00C71BAE">
      <w:pPr>
        <w:pStyle w:val="Heading1"/>
      </w:pPr>
      <w:bookmarkStart w:id="7" w:name="O_944781"/>
      <w:bookmarkEnd w:id="7"/>
      <w:r w:rsidRPr="00C71BAE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This field allows for different work environments and conditions that may affect performa</w:t>
            </w:r>
            <w:r w:rsidRPr="00C71BAE">
              <w:t>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Integration tasks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the application of engineering skill and knowledge across engineering technologies and systems</w:t>
            </w:r>
          </w:p>
          <w:p w:rsidR="00000000" w:rsidRPr="00C71BAE" w:rsidP="00C71BAE">
            <w:pPr>
              <w:pStyle w:val="ListBullet"/>
            </w:pPr>
            <w:r w:rsidRPr="00C71BAE">
              <w:t>partial or full design of the integration</w:t>
            </w:r>
          </w:p>
          <w:p w:rsidR="00000000" w:rsidRPr="00C71BAE" w:rsidP="00C71BAE">
            <w:pPr>
              <w:pStyle w:val="ListBullet"/>
            </w:pPr>
            <w:r w:rsidRPr="00C71BAE">
              <w:t>integration across one or more processes, machines and sets of equipment</w:t>
            </w:r>
          </w:p>
          <w:p w:rsidR="00000000" w:rsidP="00C71BAE">
            <w:pPr>
              <w:pStyle w:val="ListBullet"/>
              <w:rPr>
                <w:lang w:val="en-NZ"/>
              </w:rPr>
            </w:pPr>
            <w:r w:rsidRPr="00C71BAE">
              <w:t>integration of mechanical, fluid power and ele</w:t>
            </w:r>
            <w:r w:rsidRPr="00C71BAE">
              <w:t>ctrical systems with control technologies, structural support, and other engineering-related systems as found in automated applications.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Parameters of the integration brief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technology and process limits</w:t>
            </w:r>
          </w:p>
          <w:p w:rsidR="00000000" w:rsidRPr="00C71BAE" w:rsidP="00C71BAE">
            <w:pPr>
              <w:pStyle w:val="ListBullet"/>
            </w:pPr>
            <w:r w:rsidRPr="00C71BAE">
              <w:t>capital and design budgets</w:t>
            </w:r>
          </w:p>
          <w:p w:rsidR="00000000" w:rsidRPr="00C71BAE" w:rsidP="00C71BAE">
            <w:pPr>
              <w:pStyle w:val="ListBullet"/>
            </w:pPr>
            <w:r w:rsidRPr="00C71BAE">
              <w:t>product cost limits and budgets</w:t>
            </w:r>
          </w:p>
          <w:p w:rsidR="00000000" w:rsidRPr="00C71BAE" w:rsidP="00C71BAE">
            <w:pPr>
              <w:pStyle w:val="ListBullet"/>
            </w:pPr>
            <w:r w:rsidRPr="00C71BAE">
              <w:t>anticipated post-integration performance specifications</w:t>
            </w:r>
          </w:p>
          <w:p w:rsidR="00000000" w:rsidRPr="00C71BAE" w:rsidP="00C71BAE">
            <w:pPr>
              <w:pStyle w:val="ListBullet"/>
            </w:pPr>
            <w:r w:rsidRPr="00C71BAE">
              <w:t>equipment availability, capacities and restrictions</w:t>
            </w:r>
          </w:p>
          <w:p w:rsidR="00000000" w:rsidRPr="00C71BAE" w:rsidP="00C71BAE">
            <w:pPr>
              <w:pStyle w:val="ListBullet"/>
            </w:pPr>
            <w:r w:rsidRPr="00C71BAE">
              <w:t>specified administrative, communication and approval procedures</w:t>
            </w:r>
          </w:p>
          <w:p w:rsidR="00000000" w:rsidP="00C71BAE">
            <w:pPr>
              <w:pStyle w:val="ListBullet"/>
              <w:rPr>
                <w:lang w:val="en-NZ"/>
              </w:rPr>
            </w:pPr>
            <w:r w:rsidRPr="00C71BAE">
              <w:t>other special features and limits in the integration</w:t>
            </w:r>
            <w:r w:rsidRPr="00C71BAE">
              <w:t xml:space="preserve"> brief.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Stakeholders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clients</w:t>
            </w:r>
          </w:p>
          <w:p w:rsidR="00000000" w:rsidRPr="00C71BAE" w:rsidP="00C71BAE">
            <w:pPr>
              <w:pStyle w:val="ListBullet"/>
            </w:pPr>
            <w:r w:rsidRPr="00C71BAE">
              <w:t>financier</w:t>
            </w:r>
          </w:p>
          <w:p w:rsidR="00000000" w:rsidRPr="00C71BAE" w:rsidP="00C71BAE">
            <w:pPr>
              <w:pStyle w:val="ListBullet"/>
            </w:pPr>
            <w:r w:rsidRPr="00C71BAE">
              <w:t>project or operations team</w:t>
            </w:r>
          </w:p>
          <w:p w:rsidR="00000000" w:rsidRPr="00C71BAE" w:rsidP="00C71BAE">
            <w:pPr>
              <w:pStyle w:val="ListBullet"/>
            </w:pPr>
            <w:r w:rsidRPr="00C71BAE">
              <w:t>support services including accounts and legal professionals, technical experts, suppliers and transporters</w:t>
            </w:r>
          </w:p>
          <w:p w:rsidR="00000000" w:rsidP="00C71BAE">
            <w:pPr>
              <w:pStyle w:val="ListBullet"/>
              <w:rPr>
                <w:lang w:val="en-NZ"/>
              </w:rPr>
            </w:pPr>
            <w:r w:rsidRPr="00C71BAE">
              <w:t>those responsible for implementation plan activities including installat</w:t>
            </w:r>
            <w:r w:rsidRPr="00C71BAE">
              <w:t>ion, commissioning and process improvement.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WHS, regulatory, sustainability and environmental issues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WHS acts, regulations and relevant standards</w:t>
            </w:r>
          </w:p>
          <w:p w:rsidR="00000000" w:rsidRPr="00C71BAE" w:rsidP="00C71BAE">
            <w:pPr>
              <w:pStyle w:val="ListBullet"/>
            </w:pPr>
            <w:r w:rsidRPr="00C71BAE">
              <w:t>industry codes of practice</w:t>
            </w:r>
          </w:p>
          <w:p w:rsidR="00000000" w:rsidRPr="00C71BAE" w:rsidP="00C71BAE">
            <w:pPr>
              <w:pStyle w:val="ListBullet"/>
            </w:pPr>
            <w:r w:rsidRPr="00C71BAE">
              <w:t>risk assessments</w:t>
            </w:r>
          </w:p>
          <w:p w:rsidR="00000000" w:rsidRPr="00C71BAE" w:rsidP="00C71BAE">
            <w:pPr>
              <w:pStyle w:val="ListBullet"/>
            </w:pPr>
            <w:r w:rsidRPr="00C71BAE">
              <w:t>registration requirements</w:t>
            </w:r>
          </w:p>
          <w:p w:rsidR="00000000" w:rsidRPr="00C71BAE" w:rsidP="00C71BAE">
            <w:pPr>
              <w:pStyle w:val="ListBullet"/>
            </w:pPr>
            <w:r w:rsidRPr="00C71BAE">
              <w:t>safe work practices</w:t>
            </w:r>
          </w:p>
          <w:p w:rsidR="00000000" w:rsidP="00C71BAE">
            <w:pPr>
              <w:pStyle w:val="ListBullet"/>
              <w:rPr>
                <w:lang w:val="en-NZ"/>
              </w:rPr>
            </w:pPr>
            <w:r w:rsidRPr="00C71BAE">
              <w:t>state and territory regulatory requirements.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Software and validation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the use of failure effects analysis (FEA) and numerical methods within object-oriented modelling techniques</w:t>
            </w:r>
          </w:p>
          <w:p w:rsidR="00000000" w:rsidRPr="00C71BAE" w:rsidP="00C71BAE">
            <w:pPr>
              <w:pStyle w:val="ListBullet"/>
            </w:pPr>
            <w:r w:rsidRPr="00C71BAE">
              <w:t>comparison of traditional solutions for simple design pro</w:t>
            </w:r>
            <w:r w:rsidRPr="00C71BAE">
              <w:t>blems with software solutions to the same design problems</w:t>
            </w:r>
          </w:p>
          <w:p w:rsidR="00000000" w:rsidP="00C71BAE">
            <w:pPr>
              <w:pStyle w:val="ListBullet"/>
              <w:rPr>
                <w:lang w:val="en-NZ"/>
              </w:rPr>
            </w:pPr>
            <w:r w:rsidRPr="00C71BAE">
              <w:t>review of previously implemented design challenges which were completed using the software.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resources and energy:</w:t>
            </w:r>
          </w:p>
          <w:p w:rsidR="00000000" w:rsidRPr="00C71BAE" w:rsidP="00C71BAE">
            <w:pPr>
              <w:pStyle w:val="ListBullet2"/>
            </w:pPr>
            <w:r w:rsidRPr="00C71BAE">
              <w:t>sources, access, processing and consumption</w:t>
            </w:r>
          </w:p>
          <w:p w:rsidR="00000000" w:rsidRPr="00C71BAE" w:rsidP="00C71BAE">
            <w:pPr>
              <w:pStyle w:val="ListBullet2"/>
            </w:pPr>
            <w:r w:rsidRPr="00C71BAE">
              <w:t>food security and agriculture, health, education and shelter</w:t>
            </w:r>
          </w:p>
          <w:p w:rsidR="00000000" w:rsidRPr="00C71BAE" w:rsidP="00C71BAE">
            <w:pPr>
              <w:pStyle w:val="ListBullet2"/>
            </w:pPr>
            <w:r w:rsidRPr="00C71BAE">
              <w:t>land, energy and water</w:t>
            </w:r>
          </w:p>
          <w:p w:rsidR="00000000" w:rsidRPr="00C71BAE" w:rsidP="00C71BAE">
            <w:pPr>
              <w:pStyle w:val="ListBullet"/>
            </w:pPr>
            <w:r w:rsidRPr="00C71BAE">
              <w:t>social and economic factors affecting design of machines and equipment</w:t>
            </w:r>
          </w:p>
          <w:p w:rsidR="00000000" w:rsidRPr="00C71BAE" w:rsidP="00C71BAE">
            <w:pPr>
              <w:pStyle w:val="ListBullet"/>
            </w:pPr>
            <w:r w:rsidRPr="00C71BAE">
              <w:t>ecological and resources implications of activities</w:t>
            </w:r>
          </w:p>
          <w:p w:rsidR="00000000" w:rsidRPr="00C71BAE" w:rsidP="00C71BAE">
            <w:pPr>
              <w:pStyle w:val="ListBullet"/>
            </w:pPr>
            <w:r w:rsidRPr="00C71BAE">
              <w:t>life cycle design of product (manufacture to re-</w:t>
            </w:r>
            <w:r w:rsidRPr="00C71BAE">
              <w:t>manufacture or recycle)</w:t>
            </w:r>
          </w:p>
          <w:p w:rsidR="00000000" w:rsidRPr="00C71BAE" w:rsidP="00C71BAE">
            <w:pPr>
              <w:pStyle w:val="ListBullet"/>
            </w:pPr>
            <w:r w:rsidRPr="00C71BAE">
              <w:t>raw material, solids and hazardous waste, and production by-products</w:t>
            </w:r>
          </w:p>
          <w:p w:rsidR="00000000" w:rsidRPr="00C71BAE" w:rsidP="00C71BAE">
            <w:pPr>
              <w:pStyle w:val="ListBullet"/>
            </w:pPr>
            <w:r w:rsidRPr="00C71BAE">
              <w:t>contamination of land, air and stormwater pollutants, and discharge to sewerage</w:t>
            </w:r>
          </w:p>
          <w:p w:rsidR="00000000" w:rsidP="00C71BAE">
            <w:pPr>
              <w:pStyle w:val="ListBullet"/>
              <w:rPr>
                <w:lang w:val="en-NZ"/>
              </w:rPr>
            </w:pPr>
            <w:r w:rsidRPr="00C71BAE">
              <w:t>climate change.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Monitor and support the implementation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provision of assistance with hardware procurement and system assembly and arrangements to suit design</w:t>
            </w:r>
          </w:p>
          <w:p w:rsidR="00000000" w:rsidRPr="00C71BAE" w:rsidP="00C71BAE">
            <w:pPr>
              <w:pStyle w:val="ListBullet"/>
            </w:pPr>
            <w:r w:rsidRPr="00C71BAE">
              <w:t>assisting installation and commissioning</w:t>
            </w:r>
          </w:p>
          <w:p w:rsidR="00000000" w:rsidP="00C71BAE">
            <w:pPr>
              <w:pStyle w:val="ListBullet"/>
              <w:rPr>
                <w:lang w:val="en-NZ"/>
              </w:rPr>
            </w:pPr>
            <w:r w:rsidRPr="00C71BAE">
              <w:t>provision of advice on adjustments, revisions and required documentation.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Systems thinking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process of</w:t>
            </w:r>
            <w:r w:rsidRPr="00C71BAE">
              <w:t xml:space="preserve"> developing solutions within the context of an entire system</w:t>
            </w:r>
          </w:p>
          <w:p w:rsidR="00000000" w:rsidP="00C71BAE">
            <w:pPr>
              <w:pStyle w:val="ListBullet"/>
              <w:rPr>
                <w:lang w:val="en-NZ"/>
              </w:rPr>
            </w:pPr>
            <w:r w:rsidRPr="00C71BAE">
              <w:t>recognising that an improvement in one subsystem can adversely affect another subsystem.</w:t>
            </w:r>
          </w:p>
        </w:tc>
      </w:tr>
      <w:tr w:rsidTr="00C71B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AE">
            <w:pPr>
              <w:pStyle w:val="BodyText"/>
              <w:rPr>
                <w:lang w:val="en-NZ"/>
              </w:rPr>
            </w:pPr>
            <w:r w:rsidRPr="00C71BAE">
              <w:t>Planning and scheduling techniques include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AE" w:rsidP="00C71BAE">
            <w:pPr>
              <w:pStyle w:val="ListBullet"/>
            </w:pPr>
            <w:r w:rsidRPr="00C71BAE">
              <w:t>critical path or Pert network plans</w:t>
            </w:r>
          </w:p>
          <w:p w:rsidR="00000000" w:rsidRPr="00C71BAE" w:rsidP="00C71BAE">
            <w:pPr>
              <w:pStyle w:val="ListBullet"/>
            </w:pPr>
            <w:r w:rsidRPr="00C71BAE">
              <w:t>Gantt charts.</w:t>
            </w:r>
          </w:p>
        </w:tc>
      </w:tr>
    </w:tbl>
    <w:p w:rsidR="00000000" w:rsidRPr="00C71BAE" w:rsidP="00C71BAE">
      <w:pPr>
        <w:pStyle w:val="BodyText"/>
      </w:pPr>
    </w:p>
    <w:p w:rsidR="00000000" w:rsidRPr="00C71BAE" w:rsidP="00C71BAE">
      <w:pPr>
        <w:pStyle w:val="AllowPageBreak"/>
      </w:pPr>
    </w:p>
    <w:p w:rsidR="00000000" w:rsidRPr="00C71BAE" w:rsidP="00C71BAE">
      <w:pPr>
        <w:pStyle w:val="Heading1"/>
      </w:pPr>
      <w:bookmarkStart w:id="8" w:name="O_944780"/>
      <w:bookmarkEnd w:id="8"/>
      <w:r w:rsidRPr="00C71BAE">
        <w:t>Unit Mapping Information</w:t>
      </w:r>
    </w:p>
    <w:p w:rsidR="00000000" w:rsidRPr="00C71BAE" w:rsidP="00C11565">
      <w:pPr>
        <w:pStyle w:val="BodyText"/>
      </w:pPr>
      <w:r w:rsidRPr="00C71BAE">
        <w:t>Release 1. Supersedes and is equivalent to MEM234002A Integrate engineering technologies.</w:t>
      </w:r>
    </w:p>
    <w:p w:rsidR="00000000" w:rsidRPr="00C71BAE" w:rsidP="00C71BAE">
      <w:pPr>
        <w:pStyle w:val="Heading1"/>
      </w:pPr>
      <w:bookmarkStart w:id="9" w:name="O_944773"/>
      <w:bookmarkEnd w:id="9"/>
      <w:r w:rsidRPr="00C71BAE">
        <w:t>Links</w:t>
      </w:r>
    </w:p>
    <w:p w:rsidR="00000000" w:rsidRPr="00C71BAE" w:rsidP="00C11565">
      <w:pPr>
        <w:pStyle w:val="BodyText"/>
      </w:pPr>
      <w:r w:rsidRPr="00C71BAE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177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1BAE" w:rsidP="00C11565">
      <w:pPr>
        <w:pStyle w:val="BodyText"/>
        <w:sectPr w:rsidSect="00C71B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1BAE" w:rsidP="00C71BAE">
      <w:pPr>
        <w:pStyle w:val="SuperHeading"/>
      </w:pPr>
      <w:r w:rsidRPr="00C71BAE">
        <w:t>Assessment Requirements for MEM234002 Integrate engineering technologies</w:t>
      </w:r>
    </w:p>
    <w:p w:rsidR="00000000" w:rsidRPr="00C71BAE" w:rsidP="00C71BAE">
      <w:pPr>
        <w:pStyle w:val="Heading1"/>
      </w:pPr>
      <w:bookmarkStart w:id="10" w:name="O_944775"/>
      <w:bookmarkEnd w:id="10"/>
      <w:r w:rsidRPr="00C71BAE">
        <w:t>Modification History</w:t>
      </w:r>
    </w:p>
    <w:p w:rsidR="00000000" w:rsidRPr="00C71BAE" w:rsidP="00C11565">
      <w:pPr>
        <w:pStyle w:val="BodyText"/>
      </w:pPr>
      <w:r w:rsidRPr="00C71BAE">
        <w:t>Release 1. Supersedes and is equivalent to MEM234002A Integ</w:t>
      </w:r>
      <w:r w:rsidRPr="00C71BAE">
        <w:t>rate engineering technologies.</w:t>
      </w:r>
    </w:p>
    <w:p w:rsidR="00000000" w:rsidRPr="00C71BAE" w:rsidP="00C71BAE">
      <w:pPr>
        <w:pStyle w:val="Heading1"/>
      </w:pPr>
      <w:bookmarkStart w:id="11" w:name="O_944778"/>
      <w:bookmarkEnd w:id="11"/>
      <w:r w:rsidRPr="00C71BAE">
        <w:t>Performance Evidence</w:t>
      </w:r>
    </w:p>
    <w:p w:rsidR="00000000" w:rsidRPr="00C71BAE" w:rsidP="00C11565">
      <w:pPr>
        <w:pStyle w:val="BodyText"/>
      </w:pPr>
      <w:r w:rsidRPr="00C71BAE">
        <w:t>Evidence required to demonstrate competence in this unit must be relevant to and satisfy the requirements of the elements and performance criteria and include:</w:t>
      </w:r>
    </w:p>
    <w:p w:rsidR="00000000" w:rsidRPr="00C71BAE" w:rsidP="00C71BAE">
      <w:pPr>
        <w:pStyle w:val="ListBullet"/>
      </w:pPr>
      <w:r w:rsidRPr="00C71BAE">
        <w:t>determining the scope and parameters of the integration task</w:t>
      </w:r>
    </w:p>
    <w:p w:rsidR="00000000" w:rsidRPr="00C71BAE" w:rsidP="00C71BAE">
      <w:pPr>
        <w:pStyle w:val="ListBullet"/>
      </w:pPr>
      <w:r w:rsidRPr="00C71BAE">
        <w:t>communicating and negotiating with client and stakeholders</w:t>
      </w:r>
    </w:p>
    <w:p w:rsidR="00000000" w:rsidRPr="00C71BAE" w:rsidP="00C71BAE">
      <w:pPr>
        <w:pStyle w:val="ListBullet"/>
      </w:pPr>
      <w:r w:rsidRPr="00C71BAE">
        <w:t>generating solutions in response to the brief, including the technical requirements of an implementation plan, using systems thinking, i</w:t>
      </w:r>
      <w:r w:rsidRPr="00C71BAE">
        <w:t>nnovation and creativity</w:t>
      </w:r>
    </w:p>
    <w:p w:rsidR="00000000" w:rsidRPr="00C71BAE" w:rsidP="00C71BAE">
      <w:pPr>
        <w:pStyle w:val="ListBullet"/>
      </w:pPr>
      <w:r w:rsidRPr="00C71BAE">
        <w:t>applying design standards, performance analysis, modelling and simulation software</w:t>
      </w:r>
    </w:p>
    <w:p w:rsidR="00000000" w:rsidRPr="00C71BAE" w:rsidP="00C71BAE">
      <w:pPr>
        <w:pStyle w:val="ListBullet"/>
      </w:pPr>
      <w:r w:rsidRPr="00C71BAE">
        <w:t>validating software</w:t>
      </w:r>
    </w:p>
    <w:p w:rsidR="00000000" w:rsidRPr="00C71BAE" w:rsidP="00C71BAE">
      <w:pPr>
        <w:pStyle w:val="ListBullet"/>
      </w:pPr>
      <w:r w:rsidRPr="00C71BAE">
        <w:t>evaluating solutions for feasibility against brief criteria on at least two occasions</w:t>
      </w:r>
    </w:p>
    <w:p w:rsidR="00000000" w:rsidRPr="00C71BAE" w:rsidP="00C71BAE">
      <w:pPr>
        <w:pStyle w:val="ListBullet"/>
      </w:pPr>
      <w:r w:rsidRPr="00C71BAE">
        <w:t>developing and optimising the chosen solution and technical implementation plan and schedule on at least two occasions</w:t>
      </w:r>
    </w:p>
    <w:p w:rsidR="00000000" w:rsidRPr="00C71BAE" w:rsidP="00C71BAE">
      <w:pPr>
        <w:pStyle w:val="ListBullet"/>
      </w:pPr>
      <w:r w:rsidRPr="00C71BAE">
        <w:t>preparing proposals on at least two occasions, including the implementation plan, resource requirements, documents, specifications, graph</w:t>
      </w:r>
      <w:r w:rsidRPr="00C71BAE">
        <w:t>ics and instructions</w:t>
      </w:r>
    </w:p>
    <w:p w:rsidR="00000000" w:rsidRPr="00C71BAE" w:rsidP="00C71BAE">
      <w:pPr>
        <w:pStyle w:val="ListBullet"/>
      </w:pPr>
      <w:r w:rsidRPr="00C71BAE">
        <w:t>monitoring and supporting implementation</w:t>
      </w:r>
    </w:p>
    <w:p w:rsidR="00000000" w:rsidRPr="00C71BAE" w:rsidP="00C71BAE">
      <w:pPr>
        <w:pStyle w:val="ListBullet"/>
      </w:pPr>
      <w:r w:rsidRPr="00C71BAE">
        <w:t>commissioning the project or operation.</w:t>
      </w:r>
    </w:p>
    <w:p w:rsidR="00000000" w:rsidRPr="00C71BAE" w:rsidP="00C71BAE">
      <w:pPr>
        <w:pStyle w:val="BodyText"/>
      </w:pPr>
    </w:p>
    <w:p w:rsidR="00000000" w:rsidRPr="00C71BAE" w:rsidP="00C11565">
      <w:pPr>
        <w:pStyle w:val="BodyText"/>
      </w:pPr>
      <w:r w:rsidRPr="00C71BAE">
        <w:t>Note: Where a volume and/or frequency is not specified, demonstration must be provided at least once.</w:t>
      </w:r>
    </w:p>
    <w:p w:rsidR="00000000" w:rsidRPr="00C71BAE" w:rsidP="00C71BAE">
      <w:pPr>
        <w:pStyle w:val="Heading1"/>
      </w:pPr>
      <w:bookmarkStart w:id="12" w:name="O_944777"/>
      <w:bookmarkEnd w:id="12"/>
      <w:r w:rsidRPr="00C71BAE">
        <w:t>Knowledge Evidence</w:t>
      </w:r>
    </w:p>
    <w:p w:rsidR="00000000" w:rsidRPr="00C71BAE" w:rsidP="00C11565">
      <w:pPr>
        <w:pStyle w:val="BodyText"/>
      </w:pPr>
      <w:r w:rsidRPr="00C71BAE">
        <w:t>Evidence requir</w:t>
      </w:r>
      <w:r w:rsidRPr="00C71BAE">
        <w:t>ed to demonstrate the required knowledge for this unit must be relevant to and satisfy the requirements of the elements and performance criteria and include knowledge of:</w:t>
      </w:r>
    </w:p>
    <w:p w:rsidR="00000000" w:rsidRPr="00C71BAE" w:rsidP="00C71BAE">
      <w:pPr>
        <w:pStyle w:val="ListBullet"/>
      </w:pPr>
      <w:r w:rsidRPr="00C71BAE">
        <w:t>integration tasks and parameters</w:t>
      </w:r>
    </w:p>
    <w:p w:rsidR="00000000" w:rsidRPr="00C71BAE" w:rsidP="00C71BAE">
      <w:pPr>
        <w:pStyle w:val="ListBullet"/>
      </w:pPr>
      <w:r w:rsidRPr="00C71BAE">
        <w:t>design, implementation, commissioning and troublesh</w:t>
      </w:r>
      <w:r w:rsidRPr="00C71BAE">
        <w:t>ooting processes</w:t>
      </w:r>
    </w:p>
    <w:p w:rsidR="00000000" w:rsidRPr="00C71BAE" w:rsidP="00C71BAE">
      <w:pPr>
        <w:pStyle w:val="ListBullet"/>
      </w:pPr>
      <w:r w:rsidRPr="00C71BAE">
        <w:t>stakeholders in the integration task</w:t>
      </w:r>
    </w:p>
    <w:p w:rsidR="00000000" w:rsidRPr="00C71BAE" w:rsidP="00C71BAE">
      <w:pPr>
        <w:pStyle w:val="ListBullet"/>
      </w:pPr>
      <w:r w:rsidRPr="00C71BAE">
        <w:t>technology requirements for integration task</w:t>
      </w:r>
    </w:p>
    <w:p w:rsidR="00000000" w:rsidRPr="00C71BAE" w:rsidP="00C71BAE">
      <w:pPr>
        <w:pStyle w:val="ListBullet"/>
      </w:pPr>
      <w:r w:rsidRPr="00C71BAE">
        <w:t>holistic engineering principles including systems thinking, design, research and investigation methods</w:t>
      </w:r>
    </w:p>
    <w:p w:rsidR="00000000" w:rsidRPr="00C71BAE" w:rsidP="00C71BAE">
      <w:pPr>
        <w:pStyle w:val="ListBullet"/>
      </w:pPr>
      <w:r w:rsidRPr="00C71BAE">
        <w:t>modelling and calculation techniques</w:t>
      </w:r>
    </w:p>
    <w:p w:rsidR="00000000" w:rsidRPr="00C71BAE" w:rsidP="00C71BAE">
      <w:pPr>
        <w:pStyle w:val="ListBullet"/>
      </w:pPr>
      <w:r w:rsidRPr="00C71BAE">
        <w:t>current options a</w:t>
      </w:r>
      <w:r w:rsidRPr="00C71BAE">
        <w:t>nd trends in design, performance analysis, and modelling and simulation software</w:t>
      </w:r>
    </w:p>
    <w:p w:rsidR="00000000" w:rsidRPr="00C71BAE" w:rsidP="00C71BAE">
      <w:pPr>
        <w:pStyle w:val="ListBullet"/>
      </w:pPr>
      <w:r w:rsidRPr="00C71BAE">
        <w:t>software validation techniques</w:t>
      </w:r>
    </w:p>
    <w:p w:rsidR="00000000" w:rsidRPr="00C71BAE" w:rsidP="00C71BAE">
      <w:pPr>
        <w:pStyle w:val="ListBullet"/>
      </w:pPr>
      <w:r w:rsidRPr="00C71BAE">
        <w:t>design and implementation criteria</w:t>
      </w:r>
    </w:p>
    <w:p w:rsidR="00000000" w:rsidRPr="00C71BAE" w:rsidP="00C71BAE">
      <w:pPr>
        <w:pStyle w:val="ListBullet"/>
      </w:pPr>
      <w:r w:rsidRPr="00C71BAE">
        <w:t>critical activities and resources as input to the planning process</w:t>
      </w:r>
    </w:p>
    <w:p w:rsidR="00000000" w:rsidRPr="00C71BAE" w:rsidP="00C71BAE">
      <w:pPr>
        <w:pStyle w:val="ListBullet"/>
      </w:pPr>
      <w:r w:rsidRPr="00C71BAE">
        <w:t>planning and scheduling techniques</w:t>
      </w:r>
    </w:p>
    <w:p w:rsidR="00000000" w:rsidRPr="00C71BAE" w:rsidP="00C71BAE">
      <w:pPr>
        <w:pStyle w:val="ListBullet"/>
      </w:pPr>
      <w:r w:rsidRPr="00C71BAE">
        <w:t>requirements for sign-off</w:t>
      </w:r>
    </w:p>
    <w:p w:rsidR="00000000" w:rsidRPr="00C71BAE" w:rsidP="00C71BAE">
      <w:pPr>
        <w:pStyle w:val="ListBullet"/>
      </w:pPr>
      <w:r w:rsidRPr="00C71BAE">
        <w:t>documentation, drawings, specifications and instructions required</w:t>
      </w:r>
    </w:p>
    <w:p w:rsidR="00000000" w:rsidRPr="00C71BAE" w:rsidP="00C71BAE">
      <w:pPr>
        <w:pStyle w:val="ListBullet"/>
      </w:pPr>
      <w:r w:rsidRPr="00C71BAE">
        <w:t>sustainability considerations</w:t>
      </w:r>
    </w:p>
    <w:p w:rsidR="00000000" w:rsidRPr="00C71BAE" w:rsidP="00C71BAE">
      <w:pPr>
        <w:pStyle w:val="ListBullet"/>
      </w:pPr>
      <w:r w:rsidRPr="00C71BAE">
        <w:t>WHS and regulatory requirements, codes of practice, standards and registration requirements.</w:t>
      </w:r>
    </w:p>
    <w:p w:rsidR="00000000" w:rsidRPr="00C71BAE" w:rsidP="00C71BAE">
      <w:pPr>
        <w:pStyle w:val="AllowPageBreak"/>
      </w:pPr>
    </w:p>
    <w:p w:rsidR="00000000" w:rsidRPr="00C71BAE" w:rsidP="00C71BAE">
      <w:pPr>
        <w:pStyle w:val="Heading1"/>
      </w:pPr>
      <w:bookmarkStart w:id="13" w:name="O_944776"/>
      <w:bookmarkEnd w:id="13"/>
      <w:r w:rsidRPr="00C71BAE">
        <w:t>Assessment Conditions</w:t>
      </w:r>
    </w:p>
    <w:p w:rsidR="00000000" w:rsidRPr="00C71BAE" w:rsidP="00C71BAE">
      <w:pPr>
        <w:pStyle w:val="ListBullet"/>
      </w:pPr>
      <w:r w:rsidRPr="00C71BAE">
        <w:t>A</w:t>
      </w:r>
      <w:r w:rsidRPr="00C71BAE">
        <w:t>ssessors must:</w:t>
      </w:r>
    </w:p>
    <w:p w:rsidR="00000000" w:rsidRPr="00C71BAE" w:rsidP="00C71BAE">
      <w:pPr>
        <w:pStyle w:val="ListBullet2"/>
      </w:pPr>
      <w:r w:rsidRPr="00C71BAE">
        <w:t>have vocational competency in integrating engineering technologies at least to the level being assessed with relevant industry knowledge and experience</w:t>
      </w:r>
    </w:p>
    <w:p w:rsidR="00000000" w:rsidRPr="00C71BAE" w:rsidP="00C71BAE">
      <w:pPr>
        <w:pStyle w:val="ListBullet2"/>
      </w:pPr>
      <w:r w:rsidRPr="00C71BAE">
        <w:t xml:space="preserve">satisfy the assessor requirements in the </w:t>
      </w:r>
      <w:r w:rsidRPr="00C71BAE">
        <w:rPr>
          <w:rStyle w:val="Emphasis"/>
        </w:rPr>
        <w:t>Standards for Registered Training Organisations</w:t>
      </w:r>
      <w:r w:rsidRPr="00C71BAE">
        <w:rPr>
          <w:rStyle w:val="Emphasis"/>
        </w:rPr>
        <w:t xml:space="preserve"> 2015 or its replacement </w:t>
      </w:r>
      <w:r w:rsidRPr="00C71BAE">
        <w:t xml:space="preserve">and comply with the </w:t>
      </w:r>
      <w:r w:rsidRPr="00C71BAE">
        <w:rPr>
          <w:rStyle w:val="Emphasis"/>
        </w:rPr>
        <w:t xml:space="preserve">National Vocational Education and Training Regulator Act 2011, </w:t>
      </w:r>
      <w:r w:rsidRPr="00C71BAE">
        <w:t>its replacement</w:t>
      </w:r>
      <w:r w:rsidRPr="00C71BAE">
        <w:rPr>
          <w:rStyle w:val="Emphasis"/>
        </w:rPr>
        <w:t xml:space="preserve"> </w:t>
      </w:r>
      <w:r w:rsidRPr="00C71BAE">
        <w:t>or equivalent legislation covering VET regulation in a non-referring state/territory as the case requires.</w:t>
      </w:r>
    </w:p>
    <w:p w:rsidR="00000000" w:rsidRPr="00C71BAE" w:rsidP="00C71BAE">
      <w:pPr>
        <w:pStyle w:val="ListBullet"/>
      </w:pPr>
      <w:r w:rsidRPr="00C71BAE">
        <w:t>Where possible assessmen</w:t>
      </w:r>
      <w:r w:rsidRPr="00C71BAE">
        <w:t>t must occur in operational workplace situations. Where this is not possible or where personal safety or environmental damage are limiting factors, assessment must occur in a sufficiently rigorous simulated environment that reflects realistic operational w</w:t>
      </w:r>
      <w:r w:rsidRPr="00C71BAE">
        <w:t>orkplace conditions that cover all aspects of workplace performance, including environment, task skills, task management skills, contingency management skills and job role environment skills.</w:t>
      </w:r>
    </w:p>
    <w:p w:rsidR="00000000" w:rsidRPr="00C71BAE" w:rsidP="00C71BAE">
      <w:pPr>
        <w:pStyle w:val="ListBullet"/>
      </w:pPr>
      <w:r w:rsidRPr="00C71BAE">
        <w:t>Conditions for assessment must include access to all tools, equi</w:t>
      </w:r>
      <w:r w:rsidRPr="00C71BAE">
        <w:t>pment, materials and documentation required including relevant workplace procedures, product and manufacturing specifications.</w:t>
      </w:r>
    </w:p>
    <w:p w:rsidR="00C11565" w:rsidP="00C71BAE">
      <w:pPr>
        <w:pStyle w:val="ListBullet"/>
      </w:pPr>
      <w:r w:rsidRPr="00C71BAE">
        <w:t>Assessment processes and techniques must be appropriate to the language, literacy and numeracy requirements of the work being performed and the needs of the candidate.</w:t>
      </w:r>
    </w:p>
    <w:p w:rsidR="00C11565" w:rsidP="00C71BAE">
      <w:pPr>
        <w:pStyle w:val="ListBullet"/>
      </w:pPr>
    </w:p>
    <w:p w:rsidR="00000000" w:rsidRPr="00C71BAE" w:rsidP="00C71BAE">
      <w:pPr>
        <w:pStyle w:val="Heading1"/>
      </w:pPr>
      <w:bookmarkStart w:id="14" w:name="O_944774"/>
      <w:bookmarkEnd w:id="14"/>
      <w:r w:rsidRPr="00C71BAE">
        <w:t>Links</w:t>
      </w:r>
    </w:p>
    <w:p w:rsidR="00000000" w:rsidRPr="00C71BAE" w:rsidP="00C11565">
      <w:pPr>
        <w:pStyle w:val="BodyText"/>
      </w:pPr>
      <w:r w:rsidRPr="00C71BAE">
        <w:t>Companion Volume Implementation Guides are available on VETNet -</w:t>
      </w:r>
      <w:r w:rsidRPr="00C71BAE">
        <w:t xml:space="preserve">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177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1BAE" w:rsidP="00C71BAE"/>
    <w:sectPr w:rsidSect="00C71B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E" w:rsidRPr="00C11565" w:rsidP="00C11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65" w:rsidP="00C71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11565" w:rsidP="00C71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1565" w:rsidP="00C71B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E" w:rsidP="00C71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1565">
      <w:t>Approved</w:t>
    </w:r>
    <w:r w:rsidR="00C115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156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1565">
      <w:rPr>
        <w:noProof/>
      </w:rPr>
      <w:t>6</w:t>
    </w:r>
    <w:r>
      <w:rPr>
        <w:noProof/>
      </w:rPr>
      <w:fldChar w:fldCharType="end"/>
    </w:r>
  </w:p>
  <w:p w:rsidR="00C71BAE" w:rsidP="00C71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15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1565">
      <w:t>Manufacturing Industry Skills Alliance</w:t>
    </w:r>
    <w:r w:rsidR="00C11565">
      <w:fldChar w:fldCharType="end"/>
    </w:r>
  </w:p>
  <w:p w:rsidR="00C71BAE" w:rsidP="00C71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BAE" w:rsidRPr="00C11565" w:rsidP="00C11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65" w:rsidRPr="002D2AF8" w:rsidP="00C71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MEM234002 Integrate engineering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1565" w:rsidP="00C71B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E" w:rsidRPr="002D2AF8" w:rsidP="00C71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1565">
      <w:t>MEM234002 Integrate engineering technologies</w:t>
    </w:r>
    <w:r w:rsidR="00C115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1565">
      <w:rPr>
        <w:noProof/>
      </w:rPr>
      <w:t>2 March 2025</w:t>
    </w:r>
    <w:r>
      <w:fldChar w:fldCharType="end"/>
    </w:r>
  </w:p>
  <w:p w:rsidR="00C71BAE" w:rsidP="00C71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608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A0D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FC1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BAE"/>
  </w:style>
  <w:style w:type="character" w:customStyle="1" w:styleId="Heading1Char">
    <w:name w:val="Heading 1 Char"/>
    <w:basedOn w:val="DefaultParagraphFont"/>
    <w:link w:val="Heading1"/>
    <w:rsid w:val="00C71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B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BAE"/>
    <w:rPr>
      <w:b/>
      <w:spacing w:val="0"/>
    </w:rPr>
  </w:style>
  <w:style w:type="paragraph" w:styleId="ListBullet2">
    <w:name w:val="List Bullet 2"/>
    <w:basedOn w:val="List2"/>
    <w:rsid w:val="00C71B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1BAE"/>
    <w:rPr>
      <w:i/>
    </w:rPr>
  </w:style>
  <w:style w:type="paragraph" w:customStyle="1" w:styleId="SuperHeading">
    <w:name w:val="SuperHeading"/>
    <w:basedOn w:val="Normal"/>
    <w:rsid w:val="00C71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B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BAE"/>
  </w:style>
  <w:style w:type="paragraph" w:styleId="TableofFigures">
    <w:name w:val="table of figures"/>
    <w:basedOn w:val="Normal"/>
    <w:next w:val="Normal"/>
    <w:semiHidden/>
    <w:rsid w:val="00C71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B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BAE"/>
    <w:rPr>
      <w:rFonts w:ascii="Wingdings" w:hAnsi="Wingdings"/>
    </w:rPr>
  </w:style>
  <w:style w:type="paragraph" w:customStyle="1" w:styleId="TableHeading">
    <w:name w:val="Table Heading"/>
    <w:basedOn w:val="HeadingBase"/>
    <w:rsid w:val="00C71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BAE"/>
    <w:rPr>
      <w:color w:val="0033CC"/>
      <w:u w:val="none"/>
    </w:rPr>
  </w:style>
  <w:style w:type="paragraph" w:customStyle="1" w:styleId="BodyTextRight">
    <w:name w:val="Body Text Right"/>
    <w:basedOn w:val="BodyText"/>
    <w:rsid w:val="00C71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B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BAE"/>
    <w:rPr>
      <w:sz w:val="32"/>
    </w:rPr>
  </w:style>
  <w:style w:type="paragraph" w:customStyle="1" w:styleId="HeadingProcedure">
    <w:name w:val="Heading Procedure"/>
    <w:basedOn w:val="HeadingBase"/>
    <w:next w:val="Normal"/>
    <w:rsid w:val="00C71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BAE"/>
    <w:pPr>
      <w:spacing w:before="60" w:after="60"/>
    </w:pPr>
  </w:style>
  <w:style w:type="paragraph" w:styleId="ListContinue">
    <w:name w:val="List Continue"/>
    <w:basedOn w:val="List"/>
    <w:rsid w:val="00C71BAE"/>
    <w:pPr>
      <w:ind w:firstLine="0"/>
    </w:pPr>
  </w:style>
  <w:style w:type="paragraph" w:customStyle="1" w:styleId="ListNote">
    <w:name w:val="List Note"/>
    <w:basedOn w:val="List"/>
    <w:rsid w:val="00C71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BAE"/>
    <w:rPr>
      <w:rFonts w:ascii="Courier New" w:hAnsi="Courier New"/>
    </w:rPr>
  </w:style>
  <w:style w:type="paragraph" w:customStyle="1" w:styleId="NoteBullet">
    <w:name w:val="Note Bullet"/>
    <w:basedOn w:val="Note"/>
    <w:rsid w:val="00C71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B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BAE"/>
    <w:rPr>
      <w:b/>
      <w:smallCaps/>
    </w:rPr>
  </w:style>
  <w:style w:type="paragraph" w:customStyle="1" w:styleId="TableListNumber">
    <w:name w:val="Table List Number"/>
    <w:basedOn w:val="ListNumber"/>
    <w:rsid w:val="00C71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BAE"/>
    <w:pPr>
      <w:numPr>
        <w:numId w:val="9"/>
      </w:numPr>
    </w:pPr>
  </w:style>
  <w:style w:type="paragraph" w:customStyle="1" w:styleId="ListAlpha2">
    <w:name w:val="List Alpha 2"/>
    <w:basedOn w:val="List2"/>
    <w:rsid w:val="00C71BAE"/>
    <w:pPr>
      <w:numPr>
        <w:numId w:val="8"/>
      </w:numPr>
    </w:pPr>
  </w:style>
  <w:style w:type="paragraph" w:styleId="List2">
    <w:name w:val="List 2"/>
    <w:basedOn w:val="BodyText"/>
    <w:rsid w:val="00C71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B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B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BAE"/>
    <w:pPr>
      <w:numPr>
        <w:numId w:val="4"/>
      </w:numPr>
    </w:pPr>
  </w:style>
  <w:style w:type="paragraph" w:styleId="ListContinue2">
    <w:name w:val="List Continue 2"/>
    <w:basedOn w:val="List2"/>
    <w:rsid w:val="00C71BAE"/>
    <w:pPr>
      <w:ind w:firstLine="0"/>
    </w:pPr>
  </w:style>
  <w:style w:type="paragraph" w:styleId="ListContinue3">
    <w:name w:val="List Continue 3"/>
    <w:basedOn w:val="List3"/>
    <w:rsid w:val="00C71BAE"/>
    <w:pPr>
      <w:ind w:left="1021" w:firstLine="0"/>
    </w:pPr>
  </w:style>
  <w:style w:type="paragraph" w:styleId="ListContinue4">
    <w:name w:val="List Continue 4"/>
    <w:basedOn w:val="List4"/>
    <w:rsid w:val="00C71BAE"/>
    <w:pPr>
      <w:ind w:firstLine="0"/>
    </w:pPr>
  </w:style>
  <w:style w:type="paragraph" w:styleId="ListContinue5">
    <w:name w:val="List Continue 5"/>
    <w:basedOn w:val="List5"/>
    <w:rsid w:val="00C71BAE"/>
    <w:pPr>
      <w:ind w:firstLine="0"/>
    </w:pPr>
  </w:style>
  <w:style w:type="paragraph" w:styleId="ListNumber3">
    <w:name w:val="List Number 3"/>
    <w:basedOn w:val="List3"/>
    <w:rsid w:val="00C71BAE"/>
    <w:pPr>
      <w:numPr>
        <w:numId w:val="5"/>
      </w:numPr>
    </w:pPr>
  </w:style>
  <w:style w:type="paragraph" w:styleId="ListNumber4">
    <w:name w:val="List Number 4"/>
    <w:basedOn w:val="List4"/>
    <w:rsid w:val="00C71BAE"/>
    <w:pPr>
      <w:numPr>
        <w:numId w:val="6"/>
      </w:numPr>
    </w:pPr>
  </w:style>
  <w:style w:type="paragraph" w:styleId="ListNumber5">
    <w:name w:val="List Number 5"/>
    <w:basedOn w:val="List5"/>
    <w:rsid w:val="00C71BAE"/>
    <w:pPr>
      <w:numPr>
        <w:numId w:val="7"/>
      </w:numPr>
    </w:pPr>
  </w:style>
  <w:style w:type="paragraph" w:styleId="BlockText">
    <w:name w:val="Block Text"/>
    <w:basedOn w:val="Normal"/>
    <w:rsid w:val="00C71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BAE"/>
    <w:rPr>
      <w:sz w:val="16"/>
      <w:vertAlign w:val="superscript"/>
    </w:rPr>
  </w:style>
  <w:style w:type="character" w:customStyle="1" w:styleId="Symbols">
    <w:name w:val="Symbols"/>
    <w:basedOn w:val="DefaultParagraphFont"/>
    <w:rsid w:val="00C71BAE"/>
    <w:rPr>
      <w:rFonts w:ascii="Symbol" w:hAnsi="Symbol"/>
    </w:rPr>
  </w:style>
  <w:style w:type="character" w:customStyle="1" w:styleId="MenuOptions">
    <w:name w:val="Menu Options"/>
    <w:basedOn w:val="DefaultParagraphFont"/>
    <w:rsid w:val="00C71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BAE"/>
    <w:rPr>
      <w:b/>
    </w:rPr>
  </w:style>
  <w:style w:type="character" w:customStyle="1" w:styleId="Underlined">
    <w:name w:val="Underlined"/>
    <w:basedOn w:val="DefaultParagraphFont"/>
    <w:rsid w:val="00C71BAE"/>
    <w:rPr>
      <w:u w:val="single"/>
    </w:rPr>
  </w:style>
  <w:style w:type="paragraph" w:customStyle="1" w:styleId="TableBodyTextRight">
    <w:name w:val="Table Body Text Right"/>
    <w:basedOn w:val="TableBodyText"/>
    <w:rsid w:val="00C71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BAE"/>
    <w:rPr>
      <w:sz w:val="18"/>
    </w:rPr>
  </w:style>
  <w:style w:type="paragraph" w:customStyle="1" w:styleId="BodySmallRight">
    <w:name w:val="Body Small Right"/>
    <w:basedOn w:val="BodyTextRight"/>
    <w:rsid w:val="00C71BAE"/>
    <w:rPr>
      <w:sz w:val="18"/>
      <w:szCs w:val="18"/>
    </w:rPr>
  </w:style>
  <w:style w:type="paragraph" w:customStyle="1" w:styleId="MarginEdition">
    <w:name w:val="Margin Edition"/>
    <w:basedOn w:val="MarginNote"/>
    <w:rsid w:val="00C71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BAE"/>
    <w:rPr>
      <w:sz w:val="2"/>
      <w:szCs w:val="2"/>
    </w:rPr>
  </w:style>
  <w:style w:type="character" w:customStyle="1" w:styleId="Small">
    <w:name w:val="Small"/>
    <w:basedOn w:val="DefaultParagraphFont"/>
    <w:rsid w:val="00C71BAE"/>
    <w:rPr>
      <w:sz w:val="16"/>
    </w:rPr>
  </w:style>
  <w:style w:type="paragraph" w:customStyle="1" w:styleId="WideTable">
    <w:name w:val="Wide Table"/>
    <w:basedOn w:val="Normal"/>
    <w:rsid w:val="00C71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BAE"/>
  </w:style>
  <w:style w:type="paragraph" w:styleId="Quote">
    <w:name w:val="Quote"/>
    <w:basedOn w:val="Heading1"/>
    <w:link w:val="QuoteChar"/>
    <w:qFormat/>
    <w:rsid w:val="00C71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BAE"/>
    <w:pPr>
      <w:pageBreakBefore/>
    </w:pPr>
  </w:style>
  <w:style w:type="paragraph" w:customStyle="1" w:styleId="Border">
    <w:name w:val="Border"/>
    <w:basedOn w:val="Normal"/>
    <w:qFormat/>
    <w:rsid w:val="00C71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BAE"/>
    <w:rPr>
      <w:u w:val="single"/>
    </w:rPr>
  </w:style>
  <w:style w:type="character" w:customStyle="1" w:styleId="BoldandItalics">
    <w:name w:val="Bold and Italics"/>
    <w:qFormat/>
    <w:rsid w:val="00C71BAE"/>
    <w:rPr>
      <w:b/>
      <w:i/>
      <w:u w:val="none"/>
    </w:rPr>
  </w:style>
  <w:style w:type="paragraph" w:styleId="BalloonText">
    <w:name w:val="Balloon Text"/>
    <w:basedOn w:val="Normal"/>
    <w:link w:val="BalloonTextChar"/>
    <w:rsid w:val="00C71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BAE"/>
    <w:pPr>
      <w:spacing w:before="0" w:after="0"/>
    </w:pPr>
  </w:style>
  <w:style w:type="paragraph" w:customStyle="1" w:styleId="BodyTextBold">
    <w:name w:val="Body Text Bold"/>
    <w:basedOn w:val="BodyText"/>
    <w:qFormat/>
    <w:rsid w:val="00C71BAE"/>
    <w:rPr>
      <w:b/>
    </w:rPr>
  </w:style>
  <w:style w:type="character" w:styleId="Hyperlink">
    <w:name w:val="Hyperlink"/>
    <w:basedOn w:val="DefaultParagraphFont"/>
    <w:uiPriority w:val="99"/>
    <w:unhideWhenUsed/>
    <w:rsid w:val="00C11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1482</Words>
  <Characters>10300</Characters>
  <Application>Microsoft Office Word</Application>
  <DocSecurity>0</DocSecurity>
  <Lines>271</Lines>
  <Paragraphs>173</Paragraphs>
  <ScaleCrop>false</ScaleCrop>
  <Company>Author-it Software Corporation Ltd.</Company>
  <LinksUpToDate>false</LinksUpToDate>
  <CharactersWithSpaces>11609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MEM234002 Integrate engineering technologies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