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9A3" w:rsidP="00BF09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MEM234001 Plan and manage engineering-related projects or operations</w:t>
      </w:r>
      <w:r>
        <w:fldChar w:fldCharType="end"/>
      </w:r>
    </w:p>
    <w:p w:rsidR="00BF09A3" w:rsidP="00BF09A3">
      <w:pPr>
        <w:pStyle w:val="Version"/>
        <w:sectPr w:rsidSect="003A20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0CD" w:rsidP="003A20CD">
      <w:pPr>
        <w:pStyle w:val="SuperHeading"/>
      </w:pPr>
      <w:r w:rsidRPr="003A20CD">
        <w:t>Assessment Requirements for MEM234001 Plan and manage engineering-related projects or operations</w:t>
      </w:r>
    </w:p>
    <w:p w:rsidR="00000000" w:rsidRPr="003A20CD" w:rsidP="003A20CD">
      <w:pPr>
        <w:pStyle w:val="Heading1"/>
      </w:pPr>
      <w:bookmarkStart w:id="1" w:name="O_944737"/>
      <w:bookmarkEnd w:id="1"/>
      <w:r w:rsidRPr="003A20CD">
        <w:t>Modification History</w:t>
      </w:r>
    </w:p>
    <w:p w:rsidR="00000000" w:rsidRPr="003A20CD" w:rsidP="00BF09A3">
      <w:pPr>
        <w:pStyle w:val="BodyText"/>
      </w:pPr>
      <w:r w:rsidRPr="003A20CD">
        <w:t>Release 1. Supersedes and is equivalent to MEM234001A Plan and manage engineering-related projects or operations.</w:t>
      </w:r>
    </w:p>
    <w:p w:rsidR="00000000" w:rsidRPr="003A20CD" w:rsidP="003A20CD">
      <w:pPr>
        <w:pStyle w:val="Heading1"/>
      </w:pPr>
      <w:bookmarkStart w:id="2" w:name="O_944740"/>
      <w:bookmarkEnd w:id="2"/>
      <w:r w:rsidRPr="003A20CD">
        <w:t>Performance Evidence</w:t>
      </w:r>
    </w:p>
    <w:p w:rsidR="00000000" w:rsidRPr="003A20CD" w:rsidP="00BF09A3">
      <w:pPr>
        <w:pStyle w:val="BodyText"/>
      </w:pPr>
      <w:r w:rsidRPr="003A20CD">
        <w:t>Evidence required to demonstrate competence in this unit must be relevant to and satisfy the requirements of the elements and performance criteria and include:</w:t>
      </w:r>
    </w:p>
    <w:p w:rsidR="00000000" w:rsidRPr="003A20CD" w:rsidP="003A20CD">
      <w:pPr>
        <w:pStyle w:val="ListBullet"/>
      </w:pPr>
      <w:r w:rsidRPr="003A20CD">
        <w:t>identifying, planning and establishing engineering and org</w:t>
      </w:r>
      <w:r w:rsidRPr="003A20CD">
        <w:t>anisation requirements for the project or operation</w:t>
      </w:r>
    </w:p>
    <w:p w:rsidR="00000000" w:rsidRPr="003A20CD" w:rsidP="003A20CD">
      <w:pPr>
        <w:pStyle w:val="ListBullet"/>
      </w:pPr>
      <w:r w:rsidRPr="003A20CD">
        <w:t>establishing resources required, including labour, materials, equipment within budgets and procedures on at least two occasions</w:t>
      </w:r>
    </w:p>
    <w:p w:rsidR="00000000" w:rsidRPr="003A20CD" w:rsidP="003A20CD">
      <w:pPr>
        <w:pStyle w:val="ListBullet"/>
      </w:pPr>
      <w:r w:rsidRPr="003A20CD">
        <w:t xml:space="preserve">investigating and validating performance analysis, modelling and simulation </w:t>
      </w:r>
      <w:r w:rsidRPr="003A20CD">
        <w:t>software</w:t>
      </w:r>
    </w:p>
    <w:p w:rsidR="00000000" w:rsidRPr="003A20CD" w:rsidP="003A20CD">
      <w:pPr>
        <w:pStyle w:val="ListBullet"/>
      </w:pPr>
      <w:r w:rsidRPr="003A20CD">
        <w:t>commencing project or operation management on at least two occasions including establishing support team and responsibilities</w:t>
      </w:r>
    </w:p>
    <w:p w:rsidR="00000000" w:rsidRPr="003A20CD" w:rsidP="003A20CD">
      <w:pPr>
        <w:pStyle w:val="ListBullet"/>
      </w:pPr>
      <w:r w:rsidRPr="003A20CD">
        <w:t>overcoming constraints and contingencies to achieve schedules and budgets as contained in business plan</w:t>
      </w:r>
    </w:p>
    <w:p w:rsidR="00000000" w:rsidRPr="003A20CD" w:rsidP="003A20CD">
      <w:pPr>
        <w:pStyle w:val="ListBullet"/>
      </w:pPr>
      <w:r w:rsidRPr="003A20CD">
        <w:t>undertaking appro</w:t>
      </w:r>
      <w:r w:rsidRPr="003A20CD">
        <w:t>priate internal and external reporting</w:t>
      </w:r>
    </w:p>
    <w:p w:rsidR="00000000" w:rsidRPr="003A20CD" w:rsidP="003A20CD">
      <w:pPr>
        <w:pStyle w:val="ListBullet"/>
      </w:pPr>
      <w:r w:rsidRPr="003A20CD">
        <w:t>managing continuous improvement.</w:t>
      </w:r>
    </w:p>
    <w:p w:rsidR="00000000" w:rsidRPr="003A20CD" w:rsidP="003A20CD">
      <w:pPr>
        <w:pStyle w:val="BodyText"/>
      </w:pPr>
    </w:p>
    <w:p w:rsidR="00000000" w:rsidRPr="003A20CD" w:rsidP="00BF09A3">
      <w:pPr>
        <w:pStyle w:val="BodyText"/>
      </w:pPr>
      <w:r w:rsidRPr="003A20CD">
        <w:t>Note: Where a volume and/or frequency is not specified, demonstration must be provided at least once.</w:t>
      </w:r>
    </w:p>
    <w:p w:rsidR="00000000" w:rsidRPr="003A20CD" w:rsidP="003A20CD">
      <w:pPr>
        <w:pStyle w:val="Heading1"/>
      </w:pPr>
      <w:bookmarkStart w:id="3" w:name="O_944739"/>
      <w:bookmarkEnd w:id="3"/>
      <w:r w:rsidRPr="003A20CD">
        <w:t>Knowledge Evidence</w:t>
      </w:r>
    </w:p>
    <w:p w:rsidR="00000000" w:rsidRPr="003A20CD" w:rsidP="00BF09A3">
      <w:pPr>
        <w:pStyle w:val="BodyText"/>
      </w:pPr>
      <w:r w:rsidRPr="003A20CD">
        <w:t>Evidence required to demonstrate the required</w:t>
      </w:r>
      <w:r w:rsidRPr="003A20CD">
        <w:t xml:space="preserve"> knowledge for this unit must be relevant to and satisfy the requirements of the elements and performance criteria and include knowledge of:</w:t>
      </w:r>
    </w:p>
    <w:p w:rsidR="00000000" w:rsidRPr="003A20CD" w:rsidP="003A20CD">
      <w:pPr>
        <w:pStyle w:val="ListBullet"/>
      </w:pPr>
      <w:r w:rsidRPr="003A20CD">
        <w:t>types of situations where engineering-related projects or operations require high level para-professional engineer</w:t>
      </w:r>
      <w:r w:rsidRPr="003A20CD">
        <w:t>ing skills</w:t>
      </w:r>
    </w:p>
    <w:p w:rsidR="00000000" w:rsidRPr="003A20CD" w:rsidP="003A20CD">
      <w:pPr>
        <w:pStyle w:val="ListBullet"/>
      </w:pPr>
      <w:r w:rsidRPr="003A20CD">
        <w:t>personal authorities and priorities for projects or operations</w:t>
      </w:r>
    </w:p>
    <w:p w:rsidR="00000000" w:rsidRPr="003A20CD" w:rsidP="003A20CD">
      <w:pPr>
        <w:pStyle w:val="ListBullet"/>
      </w:pPr>
      <w:r w:rsidRPr="003A20CD">
        <w:t>appropriate technical and professional assistance</w:t>
      </w:r>
    </w:p>
    <w:p w:rsidR="00000000" w:rsidRPr="003A20CD" w:rsidP="003A20CD">
      <w:pPr>
        <w:pStyle w:val="ListBullet"/>
      </w:pPr>
      <w:r w:rsidRPr="003A20CD">
        <w:t>current options and trends in performance analysis, project and financial modelling, engineering-related modelling and simulation so</w:t>
      </w:r>
      <w:r w:rsidRPr="003A20CD">
        <w:t>ftware, including underpinning program and software validation techniques</w:t>
      </w:r>
    </w:p>
    <w:p w:rsidR="00000000" w:rsidRPr="003A20CD" w:rsidP="003A20CD">
      <w:pPr>
        <w:pStyle w:val="ListBullet"/>
      </w:pPr>
      <w:r w:rsidRPr="003A20CD">
        <w:t>budget and control measurement and analysis techniques for project or operations management</w:t>
      </w:r>
    </w:p>
    <w:p w:rsidR="00000000" w:rsidRPr="003A20CD" w:rsidP="003A20CD">
      <w:pPr>
        <w:pStyle w:val="ListBullet"/>
      </w:pPr>
      <w:r w:rsidRPr="003A20CD">
        <w:t>project plan and schedule from project design activities</w:t>
      </w:r>
    </w:p>
    <w:p w:rsidR="00000000" w:rsidRPr="003A20CD" w:rsidP="003A20CD">
      <w:pPr>
        <w:pStyle w:val="ListBullet"/>
      </w:pPr>
      <w:r w:rsidRPr="003A20CD">
        <w:t>physical resource availability for project or operations</w:t>
      </w:r>
    </w:p>
    <w:p w:rsidR="00000000" w:rsidRPr="003A20CD" w:rsidP="003A20CD">
      <w:pPr>
        <w:pStyle w:val="ListBullet"/>
      </w:pPr>
      <w:r w:rsidRPr="003A20CD">
        <w:t xml:space="preserve">human resource and skills availability for engineering-related projects </w:t>
      </w:r>
    </w:p>
    <w:p w:rsidR="00000000" w:rsidRPr="003A20CD" w:rsidP="003A20CD">
      <w:pPr>
        <w:pStyle w:val="ListBullet"/>
      </w:pPr>
      <w:r w:rsidRPr="003A20CD">
        <w:t>accountability considerations including:</w:t>
      </w:r>
    </w:p>
    <w:p w:rsidR="00000000" w:rsidRPr="003A20CD" w:rsidP="003A20CD">
      <w:pPr>
        <w:pStyle w:val="ListBullet2"/>
      </w:pPr>
      <w:r w:rsidRPr="003A20CD">
        <w:t>audit</w:t>
      </w:r>
    </w:p>
    <w:p w:rsidR="00000000" w:rsidRPr="003A20CD" w:rsidP="003A20CD">
      <w:pPr>
        <w:pStyle w:val="ListBullet2"/>
      </w:pPr>
      <w:r w:rsidRPr="003A20CD">
        <w:t>recording and implementation requirements for projects or operations incorpora</w:t>
      </w:r>
      <w:r w:rsidRPr="003A20CD">
        <w:t>ting tenders</w:t>
      </w:r>
    </w:p>
    <w:p w:rsidR="00000000" w:rsidRPr="003A20CD" w:rsidP="003A20CD">
      <w:pPr>
        <w:pStyle w:val="ListBullet2"/>
      </w:pPr>
      <w:r w:rsidRPr="003A20CD">
        <w:t>contracts</w:t>
      </w:r>
    </w:p>
    <w:p w:rsidR="00000000" w:rsidRPr="003A20CD" w:rsidP="003A20CD">
      <w:pPr>
        <w:pStyle w:val="ListBullet2"/>
      </w:pPr>
      <w:r w:rsidRPr="003A20CD">
        <w:t>schedules</w:t>
      </w:r>
    </w:p>
    <w:p w:rsidR="00000000" w:rsidRPr="003A20CD" w:rsidP="003A20CD">
      <w:pPr>
        <w:pStyle w:val="ListBullet2"/>
      </w:pPr>
      <w:r w:rsidRPr="003A20CD">
        <w:t>budgets</w:t>
      </w:r>
    </w:p>
    <w:p w:rsidR="00000000" w:rsidRPr="003A20CD" w:rsidP="003A20CD">
      <w:pPr>
        <w:pStyle w:val="ListBullet2"/>
      </w:pPr>
      <w:r w:rsidRPr="003A20CD">
        <w:t>personnel and resource allocations</w:t>
      </w:r>
    </w:p>
    <w:p w:rsidR="00000000" w:rsidRPr="003A20CD" w:rsidP="003A20CD">
      <w:pPr>
        <w:pStyle w:val="ListBullet2"/>
      </w:pPr>
      <w:r w:rsidRPr="003A20CD">
        <w:t>financial management procedures</w:t>
      </w:r>
    </w:p>
    <w:p w:rsidR="00000000" w:rsidRPr="003A20CD" w:rsidP="003A20CD">
      <w:pPr>
        <w:pStyle w:val="ListBullet2"/>
      </w:pPr>
      <w:r w:rsidRPr="003A20CD">
        <w:t>standard operating procedures (SOPs)</w:t>
      </w:r>
    </w:p>
    <w:p w:rsidR="00000000" w:rsidRPr="003A20CD" w:rsidP="003A20CD">
      <w:pPr>
        <w:pStyle w:val="ListBullet2"/>
      </w:pPr>
      <w:r w:rsidRPr="003A20CD">
        <w:t>maintenance procedures</w:t>
      </w:r>
    </w:p>
    <w:p w:rsidR="00000000" w:rsidRPr="003A20CD" w:rsidP="003A20CD">
      <w:pPr>
        <w:pStyle w:val="ListBullet"/>
      </w:pPr>
      <w:r w:rsidRPr="003A20CD">
        <w:t>technical documentation management including:</w:t>
      </w:r>
    </w:p>
    <w:p w:rsidR="00000000" w:rsidRPr="003A20CD" w:rsidP="003A20CD">
      <w:pPr>
        <w:pStyle w:val="ListBullet2"/>
      </w:pPr>
      <w:r w:rsidRPr="003A20CD">
        <w:t>graphics and specifications</w:t>
      </w:r>
    </w:p>
    <w:p w:rsidR="00000000" w:rsidRPr="003A20CD" w:rsidP="003A20CD">
      <w:pPr>
        <w:pStyle w:val="ListBullet2"/>
      </w:pPr>
      <w:r w:rsidRPr="003A20CD">
        <w:t>records of meetings</w:t>
      </w:r>
    </w:p>
    <w:p w:rsidR="00000000" w:rsidRPr="003A20CD" w:rsidP="003A20CD">
      <w:pPr>
        <w:pStyle w:val="ListBullet2"/>
      </w:pPr>
      <w:r w:rsidRPr="003A20CD">
        <w:t>communications</w:t>
      </w:r>
    </w:p>
    <w:p w:rsidR="00000000" w:rsidRPr="003A20CD" w:rsidP="003A20CD">
      <w:pPr>
        <w:pStyle w:val="ListBullet2"/>
      </w:pPr>
      <w:r w:rsidRPr="003A20CD">
        <w:t>negotiations</w:t>
      </w:r>
    </w:p>
    <w:p w:rsidR="00000000" w:rsidRPr="003A20CD" w:rsidP="003A20CD">
      <w:pPr>
        <w:pStyle w:val="ListBullet2"/>
      </w:pPr>
      <w:r w:rsidRPr="003A20CD">
        <w:t>decisions and agreements with stakeholders</w:t>
      </w:r>
    </w:p>
    <w:p w:rsidR="00000000" w:rsidRPr="003A20CD" w:rsidP="003A20CD">
      <w:pPr>
        <w:pStyle w:val="ListBullet"/>
      </w:pPr>
      <w:r w:rsidRPr="003A20CD">
        <w:t>sources of information and resources including:</w:t>
      </w:r>
    </w:p>
    <w:p w:rsidR="00000000" w:rsidRPr="003A20CD" w:rsidP="003A20CD">
      <w:pPr>
        <w:pStyle w:val="ListBullet2"/>
      </w:pPr>
      <w:r w:rsidRPr="003A20CD">
        <w:t>professional services</w:t>
      </w:r>
    </w:p>
    <w:p w:rsidR="00000000" w:rsidRPr="003A20CD" w:rsidP="003A20CD">
      <w:pPr>
        <w:pStyle w:val="ListBullet2"/>
      </w:pPr>
      <w:r w:rsidRPr="003A20CD">
        <w:t>finance</w:t>
      </w:r>
    </w:p>
    <w:p w:rsidR="00000000" w:rsidRPr="003A20CD" w:rsidP="003A20CD">
      <w:pPr>
        <w:pStyle w:val="ListBullet2"/>
      </w:pPr>
      <w:r w:rsidRPr="003A20CD">
        <w:t>accounts</w:t>
      </w:r>
    </w:p>
    <w:p w:rsidR="00000000" w:rsidRPr="003A20CD" w:rsidP="003A20CD">
      <w:pPr>
        <w:pStyle w:val="ListBullet2"/>
      </w:pPr>
      <w:r w:rsidRPr="003A20CD">
        <w:t>taxation</w:t>
      </w:r>
    </w:p>
    <w:p w:rsidR="00000000" w:rsidRPr="003A20CD" w:rsidP="003A20CD">
      <w:pPr>
        <w:pStyle w:val="ListBullet2"/>
      </w:pPr>
      <w:r w:rsidRPr="003A20CD">
        <w:t>legal</w:t>
      </w:r>
    </w:p>
    <w:p w:rsidR="00000000" w:rsidRPr="003A20CD" w:rsidP="003A20CD">
      <w:pPr>
        <w:pStyle w:val="ListBullet2"/>
      </w:pPr>
      <w:r w:rsidRPr="003A20CD">
        <w:t>insurance</w:t>
      </w:r>
    </w:p>
    <w:p w:rsidR="00000000" w:rsidRPr="003A20CD" w:rsidP="003A20CD">
      <w:pPr>
        <w:pStyle w:val="ListBullet2"/>
      </w:pPr>
      <w:r w:rsidRPr="003A20CD">
        <w:t>human resources (HR)</w:t>
      </w:r>
    </w:p>
    <w:p w:rsidR="00000000" w:rsidRPr="003A20CD" w:rsidP="003A20CD">
      <w:pPr>
        <w:pStyle w:val="ListBullet2"/>
      </w:pPr>
      <w:r w:rsidRPr="003A20CD">
        <w:t>trade and industry contacts</w:t>
      </w:r>
    </w:p>
    <w:p w:rsidR="00000000" w:rsidRPr="003A20CD" w:rsidP="003A20CD">
      <w:pPr>
        <w:pStyle w:val="ListBullet"/>
      </w:pPr>
      <w:r w:rsidRPr="003A20CD">
        <w:t>c</w:t>
      </w:r>
      <w:r w:rsidRPr="003A20CD">
        <w:t>ontemporary contingency and constraints management approaches</w:t>
      </w:r>
    </w:p>
    <w:p w:rsidR="00000000" w:rsidRPr="003A20CD" w:rsidP="003A20CD">
      <w:pPr>
        <w:pStyle w:val="ListBullet"/>
      </w:pPr>
      <w:r w:rsidRPr="003A20CD">
        <w:t>implications for engineering projects or operations associated with typical financial planning and accounting processes that may relate to an engineering project or operation incorporating:</w:t>
      </w:r>
    </w:p>
    <w:p w:rsidR="00000000" w:rsidRPr="003A20CD" w:rsidP="003A20CD">
      <w:pPr>
        <w:pStyle w:val="ListBullet2"/>
      </w:pPr>
      <w:r w:rsidRPr="003A20CD">
        <w:t>capital flow and liquidity</w:t>
      </w:r>
    </w:p>
    <w:p w:rsidR="00000000" w:rsidRPr="003A20CD" w:rsidP="003A20CD">
      <w:pPr>
        <w:pStyle w:val="ListBullet2"/>
      </w:pPr>
      <w:r w:rsidRPr="003A20CD">
        <w:t>assets and liabilities</w:t>
      </w:r>
    </w:p>
    <w:p w:rsidR="00000000" w:rsidRPr="003A20CD" w:rsidP="003A20CD">
      <w:pPr>
        <w:pStyle w:val="ListBullet2"/>
      </w:pPr>
      <w:r w:rsidRPr="003A20CD">
        <w:t>depreciation</w:t>
      </w:r>
    </w:p>
    <w:p w:rsidR="00000000" w:rsidRPr="003A20CD" w:rsidP="003A20CD">
      <w:pPr>
        <w:pStyle w:val="ListBullet2"/>
      </w:pPr>
      <w:r w:rsidRPr="003A20CD">
        <w:t>balance sheet</w:t>
      </w:r>
    </w:p>
    <w:p w:rsidR="00000000" w:rsidRPr="003A20CD" w:rsidP="003A20CD">
      <w:pPr>
        <w:pStyle w:val="ListBullet2"/>
      </w:pPr>
      <w:r w:rsidRPr="003A20CD">
        <w:t>costing</w:t>
      </w:r>
    </w:p>
    <w:p w:rsidR="00000000" w:rsidRPr="003A20CD" w:rsidP="003A20CD">
      <w:pPr>
        <w:pStyle w:val="ListBullet2"/>
      </w:pPr>
      <w:r w:rsidRPr="003A20CD">
        <w:t>budgeting and cost control</w:t>
      </w:r>
    </w:p>
    <w:p w:rsidR="00000000" w:rsidRPr="003A20CD" w:rsidP="003A20CD">
      <w:pPr>
        <w:pStyle w:val="ListBullet2"/>
      </w:pPr>
      <w:r w:rsidRPr="003A20CD">
        <w:t>break-even analysis</w:t>
      </w:r>
    </w:p>
    <w:p w:rsidR="00000000" w:rsidRPr="003A20CD" w:rsidP="003A20CD">
      <w:pPr>
        <w:pStyle w:val="ListBullet2"/>
      </w:pPr>
      <w:r w:rsidRPr="003A20CD">
        <w:t>profit and loss</w:t>
      </w:r>
    </w:p>
    <w:p w:rsidR="00000000" w:rsidRPr="003A20CD" w:rsidP="003A20CD">
      <w:pPr>
        <w:pStyle w:val="ListBullet2"/>
      </w:pPr>
      <w:r w:rsidRPr="003A20CD">
        <w:t>capital investment and return on investment</w:t>
      </w:r>
    </w:p>
    <w:p w:rsidR="00000000" w:rsidRPr="003A20CD" w:rsidP="003A20CD">
      <w:pPr>
        <w:pStyle w:val="ListBullet2"/>
      </w:pPr>
      <w:r w:rsidRPr="003A20CD">
        <w:t>financial recordkeeping procedures for expenditures</w:t>
      </w:r>
    </w:p>
    <w:p w:rsidR="00000000" w:rsidRPr="003A20CD" w:rsidP="003A20CD">
      <w:pPr>
        <w:pStyle w:val="ListBullet"/>
      </w:pPr>
      <w:r w:rsidRPr="003A20CD">
        <w:t>typical leg</w:t>
      </w:r>
      <w:r w:rsidRPr="003A20CD">
        <w:t xml:space="preserve">al requirements for engineering-related projects or operations </w:t>
      </w:r>
    </w:p>
    <w:p w:rsidR="00000000" w:rsidRPr="003A20CD" w:rsidP="003A20CD">
      <w:pPr>
        <w:pStyle w:val="ListBullet"/>
      </w:pPr>
      <w:r w:rsidRPr="003A20CD">
        <w:t>WHS requirements, codes of practice, regulations, standards and regulatory requirements for project or operations</w:t>
      </w:r>
    </w:p>
    <w:p w:rsidR="00000000" w:rsidRPr="003A20CD" w:rsidP="003A20CD">
      <w:pPr>
        <w:pStyle w:val="ListBullet"/>
      </w:pPr>
      <w:r w:rsidRPr="003A20CD">
        <w:t>risk management and reduction, current safe work method statements (SWMS), saf</w:t>
      </w:r>
      <w:r w:rsidRPr="003A20CD">
        <w:t>ety data sheets (SDS) and work permits</w:t>
      </w:r>
    </w:p>
    <w:p w:rsidR="00000000" w:rsidRPr="003A20CD" w:rsidP="003A20CD">
      <w:pPr>
        <w:pStyle w:val="ListBullet"/>
      </w:pPr>
      <w:r w:rsidRPr="003A20CD">
        <w:t>professional and ethical practice</w:t>
      </w:r>
    </w:p>
    <w:p w:rsidR="00000000" w:rsidRPr="003A20CD" w:rsidP="003A20CD">
      <w:pPr>
        <w:pStyle w:val="ListBullet"/>
      </w:pPr>
      <w:r w:rsidRPr="003A20CD">
        <w:t>tendering and contracts requirements and processes including agreement on design and specification, negotiations and optimisations, and provisions for variations, delays and penalties</w:t>
      </w:r>
    </w:p>
    <w:p w:rsidR="00000000" w:rsidRPr="003A20CD" w:rsidP="003A20CD">
      <w:pPr>
        <w:pStyle w:val="ListBullet"/>
      </w:pPr>
      <w:r w:rsidRPr="003A20CD">
        <w:t>work organisation and management theory</w:t>
      </w:r>
    </w:p>
    <w:p w:rsidR="00000000" w:rsidRPr="003A20CD" w:rsidP="003A20CD">
      <w:pPr>
        <w:pStyle w:val="ListBullet"/>
      </w:pPr>
      <w:r w:rsidRPr="003A20CD">
        <w:t>conflict resolution, problem-solving and decision-making.</w:t>
      </w:r>
    </w:p>
    <w:p w:rsidR="00000000" w:rsidRPr="003A20CD" w:rsidP="003A20CD">
      <w:pPr>
        <w:pStyle w:val="AllowPageBreak"/>
      </w:pPr>
    </w:p>
    <w:p w:rsidR="00000000" w:rsidRPr="003A20CD" w:rsidP="003A20CD">
      <w:pPr>
        <w:pStyle w:val="Heading1"/>
      </w:pPr>
      <w:bookmarkStart w:id="4" w:name="O_944738"/>
      <w:bookmarkEnd w:id="4"/>
      <w:r w:rsidRPr="003A20CD">
        <w:t>Assessment Conditions</w:t>
      </w:r>
    </w:p>
    <w:p w:rsidR="00000000" w:rsidRPr="003A20CD" w:rsidP="003A20CD">
      <w:pPr>
        <w:pStyle w:val="ListBullet"/>
      </w:pPr>
      <w:r w:rsidRPr="003A20CD">
        <w:t>Assessors must:</w:t>
      </w:r>
    </w:p>
    <w:p w:rsidR="00000000" w:rsidRPr="003A20CD" w:rsidP="003A20CD">
      <w:pPr>
        <w:pStyle w:val="ListBullet2"/>
      </w:pPr>
      <w:r w:rsidRPr="003A20CD">
        <w:t>have vocational competency in planning and managing engineering-related projects or operations at le</w:t>
      </w:r>
      <w:r w:rsidRPr="003A20CD">
        <w:t>ast to the level being assessed with relevant industry knowledge and experience</w:t>
      </w:r>
    </w:p>
    <w:p w:rsidR="00000000" w:rsidRPr="003A20CD" w:rsidP="003A20CD">
      <w:pPr>
        <w:pStyle w:val="ListBullet2"/>
      </w:pPr>
      <w:r w:rsidRPr="003A20CD">
        <w:t xml:space="preserve">satisfy the assessor requirements in the </w:t>
      </w:r>
      <w:r w:rsidRPr="003A20CD">
        <w:rPr>
          <w:rStyle w:val="Emphasis"/>
        </w:rPr>
        <w:t xml:space="preserve">Standards for Registered Training Organisations 2015 or its replacement </w:t>
      </w:r>
      <w:r w:rsidRPr="003A20CD">
        <w:t xml:space="preserve">and comply with the </w:t>
      </w:r>
      <w:r w:rsidRPr="003A20CD">
        <w:rPr>
          <w:rStyle w:val="Emphasis"/>
        </w:rPr>
        <w:t xml:space="preserve">National Vocational Education and Training </w:t>
      </w:r>
      <w:r w:rsidRPr="003A20CD">
        <w:rPr>
          <w:rStyle w:val="Emphasis"/>
        </w:rPr>
        <w:t xml:space="preserve">Regulator Act 2011, </w:t>
      </w:r>
      <w:r w:rsidRPr="003A20CD">
        <w:t>its replacement</w:t>
      </w:r>
      <w:r w:rsidRPr="003A20CD">
        <w:rPr>
          <w:rStyle w:val="Emphasis"/>
        </w:rPr>
        <w:t xml:space="preserve"> </w:t>
      </w:r>
      <w:r w:rsidRPr="003A20CD">
        <w:t>or equivalent legislation covering VET regulation in a non-referring state/territory as the case requires.</w:t>
      </w:r>
    </w:p>
    <w:p w:rsidR="00000000" w:rsidRPr="003A20CD" w:rsidP="003A20CD">
      <w:pPr>
        <w:pStyle w:val="ListBullet"/>
      </w:pPr>
      <w:r w:rsidRPr="003A20CD">
        <w:t>Where possible assessment must occur in operational workplace situations. Where this is not possible or where pe</w:t>
      </w:r>
      <w:r w:rsidRPr="003A20CD">
        <w:t>rsonal safety or environmental damage are limiting factors, assessment must occur in a sufficiently rigorous simulated environment that reflects realistic operational workplace conditions that cover all aspects of workplace performance, including environme</w:t>
      </w:r>
      <w:r w:rsidRPr="003A20CD">
        <w:t>nt, task skills, task management skills, contingency management skills and job role environment skills.</w:t>
      </w:r>
    </w:p>
    <w:p w:rsidR="00000000" w:rsidRPr="003A20CD" w:rsidP="003A20CD">
      <w:pPr>
        <w:pStyle w:val="ListBullet"/>
      </w:pPr>
      <w:r w:rsidRPr="003A20CD">
        <w:t>Conditions for assessment must include access to all tools, equipment, materials and documentation required including relevant workplace procedures, pro</w:t>
      </w:r>
      <w:r w:rsidRPr="003A20CD">
        <w:t>duct and manufacturing specifications.</w:t>
      </w:r>
    </w:p>
    <w:p w:rsidR="00BF09A3" w:rsidP="003A20CD">
      <w:pPr>
        <w:pStyle w:val="ListBullet"/>
      </w:pPr>
      <w:r w:rsidRPr="003A20CD">
        <w:t>Assessment processes and techniques must be appropriate to the language, literacy and numeracy requirements of the work being performed and the needs of the candidate.</w:t>
      </w:r>
    </w:p>
    <w:p w:rsidR="00BF09A3" w:rsidP="003A20CD">
      <w:pPr>
        <w:pStyle w:val="ListBullet"/>
      </w:pPr>
    </w:p>
    <w:p w:rsidR="00000000" w:rsidRPr="003A20CD" w:rsidP="003A20CD">
      <w:pPr>
        <w:pStyle w:val="Heading1"/>
      </w:pPr>
      <w:bookmarkStart w:id="5" w:name="O_944736"/>
      <w:bookmarkEnd w:id="5"/>
      <w:r w:rsidRPr="003A20CD">
        <w:t>Links</w:t>
      </w:r>
    </w:p>
    <w:p w:rsidR="00000000" w:rsidRPr="003A20CD" w:rsidP="00BF09A3">
      <w:pPr>
        <w:pStyle w:val="BodyText"/>
      </w:pPr>
      <w:r w:rsidRPr="003A20CD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42BE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20CD" w:rsidP="003A20CD"/>
    <w:sectPr w:rsidSect="003A20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CD" w:rsidRPr="00BF09A3" w:rsidP="00BF09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A3" w:rsidP="003A20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9A3" w:rsidP="003A20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09A3" w:rsidP="003A20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0CD" w:rsidRPr="00BF09A3" w:rsidP="00BF09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0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A3" w:rsidRPr="002D2AF8" w:rsidP="003A20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MEM234001 Plan and manage engineering-related projects or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F09A3" w:rsidP="003A20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809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E604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CA6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0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0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0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0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0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0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0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0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0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0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0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0CD"/>
  </w:style>
  <w:style w:type="character" w:customStyle="1" w:styleId="Heading1Char">
    <w:name w:val="Heading 1 Char"/>
    <w:basedOn w:val="DefaultParagraphFont"/>
    <w:link w:val="Heading1"/>
    <w:rsid w:val="003A20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0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0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20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A20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20CD"/>
    <w:rPr>
      <w:i/>
    </w:rPr>
  </w:style>
  <w:style w:type="paragraph" w:customStyle="1" w:styleId="SuperHeading">
    <w:name w:val="SuperHeading"/>
    <w:basedOn w:val="Normal"/>
    <w:rsid w:val="003A20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0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0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0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0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0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0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0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0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0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0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0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0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0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0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0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0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0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20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20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20CD"/>
    <w:rPr>
      <w:b/>
      <w:spacing w:val="0"/>
    </w:rPr>
  </w:style>
  <w:style w:type="paragraph" w:customStyle="1" w:styleId="SuperTitle">
    <w:name w:val="SuperTitle"/>
    <w:basedOn w:val="Title"/>
    <w:rsid w:val="003A20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0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0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0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0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0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0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0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0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0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0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0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20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0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0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0CD"/>
  </w:style>
  <w:style w:type="paragraph" w:styleId="TableofFigures">
    <w:name w:val="table of figures"/>
    <w:basedOn w:val="Normal"/>
    <w:next w:val="Normal"/>
    <w:semiHidden/>
    <w:rsid w:val="003A20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0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0CD"/>
    <w:rPr>
      <w:rFonts w:ascii="Wingdings" w:hAnsi="Wingdings"/>
    </w:rPr>
  </w:style>
  <w:style w:type="paragraph" w:customStyle="1" w:styleId="TableHeading">
    <w:name w:val="Table Heading"/>
    <w:basedOn w:val="HeadingBase"/>
    <w:rsid w:val="003A20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0CD"/>
    <w:rPr>
      <w:color w:val="0033CC"/>
      <w:u w:val="none"/>
    </w:rPr>
  </w:style>
  <w:style w:type="paragraph" w:customStyle="1" w:styleId="BodyTextRight">
    <w:name w:val="Body Text Right"/>
    <w:basedOn w:val="BodyText"/>
    <w:rsid w:val="003A20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0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0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0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0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0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0CD"/>
    <w:rPr>
      <w:sz w:val="32"/>
    </w:rPr>
  </w:style>
  <w:style w:type="paragraph" w:customStyle="1" w:styleId="HeadingProcedure">
    <w:name w:val="Heading Procedure"/>
    <w:basedOn w:val="HeadingBase"/>
    <w:next w:val="Normal"/>
    <w:rsid w:val="003A20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0CD"/>
    <w:pPr>
      <w:spacing w:before="60" w:after="60"/>
    </w:pPr>
  </w:style>
  <w:style w:type="paragraph" w:styleId="ListContinue">
    <w:name w:val="List Continue"/>
    <w:basedOn w:val="List"/>
    <w:rsid w:val="003A20CD"/>
    <w:pPr>
      <w:ind w:firstLine="0"/>
    </w:pPr>
  </w:style>
  <w:style w:type="paragraph" w:customStyle="1" w:styleId="ListNote">
    <w:name w:val="List Note"/>
    <w:basedOn w:val="List"/>
    <w:rsid w:val="003A20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0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0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0CD"/>
    <w:rPr>
      <w:rFonts w:ascii="Courier New" w:hAnsi="Courier New"/>
    </w:rPr>
  </w:style>
  <w:style w:type="paragraph" w:customStyle="1" w:styleId="NoteBullet">
    <w:name w:val="Note Bullet"/>
    <w:basedOn w:val="Note"/>
    <w:rsid w:val="003A20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0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0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0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0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0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0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0CD"/>
    <w:rPr>
      <w:b/>
      <w:smallCaps/>
    </w:rPr>
  </w:style>
  <w:style w:type="paragraph" w:customStyle="1" w:styleId="TableListNumber">
    <w:name w:val="Table List Number"/>
    <w:basedOn w:val="ListNumber"/>
    <w:rsid w:val="003A20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0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0CD"/>
    <w:pPr>
      <w:numPr>
        <w:numId w:val="9"/>
      </w:numPr>
    </w:pPr>
  </w:style>
  <w:style w:type="paragraph" w:customStyle="1" w:styleId="ListAlpha2">
    <w:name w:val="List Alpha 2"/>
    <w:basedOn w:val="List2"/>
    <w:rsid w:val="003A20CD"/>
    <w:pPr>
      <w:numPr>
        <w:numId w:val="8"/>
      </w:numPr>
    </w:pPr>
  </w:style>
  <w:style w:type="paragraph" w:styleId="List2">
    <w:name w:val="List 2"/>
    <w:basedOn w:val="BodyText"/>
    <w:rsid w:val="003A20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0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0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0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0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0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0CD"/>
    <w:pPr>
      <w:numPr>
        <w:numId w:val="4"/>
      </w:numPr>
    </w:pPr>
  </w:style>
  <w:style w:type="paragraph" w:styleId="ListContinue2">
    <w:name w:val="List Continue 2"/>
    <w:basedOn w:val="List2"/>
    <w:rsid w:val="003A20CD"/>
    <w:pPr>
      <w:ind w:firstLine="0"/>
    </w:pPr>
  </w:style>
  <w:style w:type="paragraph" w:styleId="ListContinue3">
    <w:name w:val="List Continue 3"/>
    <w:basedOn w:val="List3"/>
    <w:rsid w:val="003A20CD"/>
    <w:pPr>
      <w:ind w:left="1021" w:firstLine="0"/>
    </w:pPr>
  </w:style>
  <w:style w:type="paragraph" w:styleId="ListContinue4">
    <w:name w:val="List Continue 4"/>
    <w:basedOn w:val="List4"/>
    <w:rsid w:val="003A20CD"/>
    <w:pPr>
      <w:ind w:firstLine="0"/>
    </w:pPr>
  </w:style>
  <w:style w:type="paragraph" w:styleId="ListContinue5">
    <w:name w:val="List Continue 5"/>
    <w:basedOn w:val="List5"/>
    <w:rsid w:val="003A20CD"/>
    <w:pPr>
      <w:ind w:firstLine="0"/>
    </w:pPr>
  </w:style>
  <w:style w:type="paragraph" w:styleId="ListNumber3">
    <w:name w:val="List Number 3"/>
    <w:basedOn w:val="List3"/>
    <w:rsid w:val="003A20CD"/>
    <w:pPr>
      <w:numPr>
        <w:numId w:val="5"/>
      </w:numPr>
    </w:pPr>
  </w:style>
  <w:style w:type="paragraph" w:styleId="ListNumber4">
    <w:name w:val="List Number 4"/>
    <w:basedOn w:val="List4"/>
    <w:rsid w:val="003A20CD"/>
    <w:pPr>
      <w:numPr>
        <w:numId w:val="6"/>
      </w:numPr>
    </w:pPr>
  </w:style>
  <w:style w:type="paragraph" w:styleId="ListNumber5">
    <w:name w:val="List Number 5"/>
    <w:basedOn w:val="List5"/>
    <w:rsid w:val="003A20CD"/>
    <w:pPr>
      <w:numPr>
        <w:numId w:val="7"/>
      </w:numPr>
    </w:pPr>
  </w:style>
  <w:style w:type="paragraph" w:styleId="BlockText">
    <w:name w:val="Block Text"/>
    <w:basedOn w:val="Normal"/>
    <w:rsid w:val="003A20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0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0CD"/>
    <w:rPr>
      <w:sz w:val="16"/>
      <w:vertAlign w:val="superscript"/>
    </w:rPr>
  </w:style>
  <w:style w:type="character" w:customStyle="1" w:styleId="Symbols">
    <w:name w:val="Symbols"/>
    <w:basedOn w:val="DefaultParagraphFont"/>
    <w:rsid w:val="003A20CD"/>
    <w:rPr>
      <w:rFonts w:ascii="Symbol" w:hAnsi="Symbol"/>
    </w:rPr>
  </w:style>
  <w:style w:type="character" w:customStyle="1" w:styleId="MenuOptions">
    <w:name w:val="Menu Options"/>
    <w:basedOn w:val="DefaultParagraphFont"/>
    <w:rsid w:val="003A20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0CD"/>
    <w:rPr>
      <w:b/>
    </w:rPr>
  </w:style>
  <w:style w:type="character" w:customStyle="1" w:styleId="Underlined">
    <w:name w:val="Underlined"/>
    <w:basedOn w:val="DefaultParagraphFont"/>
    <w:rsid w:val="003A20CD"/>
    <w:rPr>
      <w:u w:val="single"/>
    </w:rPr>
  </w:style>
  <w:style w:type="paragraph" w:customStyle="1" w:styleId="TableBodyTextRight">
    <w:name w:val="Table Body Text Right"/>
    <w:basedOn w:val="TableBodyText"/>
    <w:rsid w:val="003A20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0CD"/>
    <w:rPr>
      <w:sz w:val="18"/>
    </w:rPr>
  </w:style>
  <w:style w:type="paragraph" w:customStyle="1" w:styleId="BodySmallRight">
    <w:name w:val="Body Small Right"/>
    <w:basedOn w:val="BodyTextRight"/>
    <w:rsid w:val="003A20CD"/>
    <w:rPr>
      <w:sz w:val="18"/>
      <w:szCs w:val="18"/>
    </w:rPr>
  </w:style>
  <w:style w:type="paragraph" w:customStyle="1" w:styleId="MarginEdition">
    <w:name w:val="Margin Edition"/>
    <w:basedOn w:val="MarginNote"/>
    <w:rsid w:val="003A20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0CD"/>
    <w:rPr>
      <w:sz w:val="2"/>
      <w:szCs w:val="2"/>
    </w:rPr>
  </w:style>
  <w:style w:type="character" w:customStyle="1" w:styleId="Small">
    <w:name w:val="Small"/>
    <w:basedOn w:val="DefaultParagraphFont"/>
    <w:rsid w:val="003A20CD"/>
    <w:rPr>
      <w:sz w:val="16"/>
    </w:rPr>
  </w:style>
  <w:style w:type="paragraph" w:customStyle="1" w:styleId="WideTable">
    <w:name w:val="Wide Table"/>
    <w:basedOn w:val="Normal"/>
    <w:rsid w:val="003A20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0CD"/>
  </w:style>
  <w:style w:type="paragraph" w:styleId="Quote">
    <w:name w:val="Quote"/>
    <w:basedOn w:val="Heading1"/>
    <w:link w:val="QuoteChar"/>
    <w:qFormat/>
    <w:rsid w:val="003A20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0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0CD"/>
    <w:pPr>
      <w:pageBreakBefore/>
    </w:pPr>
  </w:style>
  <w:style w:type="paragraph" w:customStyle="1" w:styleId="Border">
    <w:name w:val="Border"/>
    <w:basedOn w:val="Normal"/>
    <w:qFormat/>
    <w:rsid w:val="003A20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0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0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0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0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0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0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0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0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0CD"/>
    <w:rPr>
      <w:u w:val="single"/>
    </w:rPr>
  </w:style>
  <w:style w:type="character" w:customStyle="1" w:styleId="BoldandItalics">
    <w:name w:val="Bold and Italics"/>
    <w:qFormat/>
    <w:rsid w:val="003A20CD"/>
    <w:rPr>
      <w:b/>
      <w:i/>
      <w:u w:val="none"/>
    </w:rPr>
  </w:style>
  <w:style w:type="paragraph" w:styleId="BalloonText">
    <w:name w:val="Balloon Text"/>
    <w:basedOn w:val="Normal"/>
    <w:link w:val="BalloonTextChar"/>
    <w:rsid w:val="003A20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0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0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0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0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0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0CD"/>
    <w:pPr>
      <w:spacing w:before="0" w:after="0"/>
    </w:pPr>
  </w:style>
  <w:style w:type="paragraph" w:customStyle="1" w:styleId="BodyTextBold">
    <w:name w:val="Body Text Bold"/>
    <w:basedOn w:val="BodyText"/>
    <w:qFormat/>
    <w:rsid w:val="003A20CD"/>
    <w:rPr>
      <w:b/>
    </w:rPr>
  </w:style>
  <w:style w:type="character" w:styleId="Hyperlink">
    <w:name w:val="Hyperlink"/>
    <w:basedOn w:val="DefaultParagraphFont"/>
    <w:uiPriority w:val="99"/>
    <w:unhideWhenUsed/>
    <w:rsid w:val="00BF09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4948</Characters>
  <Application>Microsoft Office Word</Application>
  <DocSecurity>0</DocSecurity>
  <Lines>123</Lines>
  <Paragraphs>89</Paragraphs>
  <ScaleCrop>false</ScaleCrop>
  <Company>Author-it Software Corporation Ltd.</Company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MEM234001 Plan and manage engineering-related projects or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2023-02-03T06:37:00Z</dcterms:created>
  <dcterms:modified xsi:type="dcterms:W3CDTF">2023-02-03T06:37:00Z</dcterms:modified>
</cp:coreProperties>
</file>