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3E83" w:rsidP="008B3E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MEM23142 Determine psychrometric processes and system performance</w:t>
      </w:r>
      <w:r>
        <w:fldChar w:fldCharType="end"/>
      </w:r>
    </w:p>
    <w:p w:rsidR="008B3E83" w:rsidP="008B3E83">
      <w:pPr>
        <w:pStyle w:val="Version"/>
        <w:sectPr w:rsidSect="00EE0A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0A80" w:rsidP="00EE0A80">
      <w:pPr>
        <w:pStyle w:val="SuperHeading"/>
      </w:pPr>
      <w:r w:rsidRPr="00EE0A80">
        <w:t>Assessment Requirements for MEM23142 Determine psychrometric processes and system performance</w:t>
      </w:r>
    </w:p>
    <w:p w:rsidR="00000000" w:rsidRPr="00EE0A80" w:rsidP="00EE0A80">
      <w:pPr>
        <w:pStyle w:val="Heading1"/>
      </w:pPr>
      <w:bookmarkStart w:id="1" w:name="O_944509"/>
      <w:bookmarkEnd w:id="1"/>
      <w:r w:rsidRPr="00EE0A80">
        <w:t>Modification History</w:t>
      </w:r>
    </w:p>
    <w:p w:rsidR="008B3E83" w:rsidP="008B3E83">
      <w:pPr>
        <w:pStyle w:val="BodyText"/>
      </w:pPr>
      <w:r w:rsidRPr="00EE0A80">
        <w:t>Release 1. Supersedes and is equivalent to MEM23142A Determine psychrometric processes and system performance.</w:t>
      </w:r>
    </w:p>
    <w:p w:rsidR="00000000" w:rsidRPr="00EE0A80" w:rsidP="00EE0A80">
      <w:pPr>
        <w:pStyle w:val="Heading1"/>
      </w:pPr>
      <w:bookmarkStart w:id="2" w:name="O_944512"/>
      <w:bookmarkEnd w:id="2"/>
      <w:r w:rsidRPr="00EE0A80">
        <w:t>Performance Evidence</w:t>
      </w:r>
    </w:p>
    <w:p w:rsidR="00000000" w:rsidRPr="00EE0A80" w:rsidP="008B3E83">
      <w:pPr>
        <w:pStyle w:val="BodyText"/>
      </w:pPr>
      <w:r w:rsidRPr="00EE0A80">
        <w:t>Evidence required to demonstrate competence in this unit must be relevant to and satisfy the requirements of the elements and performance criteria and include:</w:t>
      </w:r>
    </w:p>
    <w:p w:rsidR="00000000" w:rsidRPr="00EE0A80" w:rsidP="00EE0A80">
      <w:pPr>
        <w:pStyle w:val="ListBullet"/>
      </w:pPr>
      <w:r w:rsidRPr="00EE0A80">
        <w:t>interpreting drawings and specifications</w:t>
      </w:r>
    </w:p>
    <w:p w:rsidR="00000000" w:rsidRPr="00EE0A80" w:rsidP="00EE0A80">
      <w:pPr>
        <w:pStyle w:val="ListBullet"/>
      </w:pPr>
      <w:r w:rsidRPr="00EE0A80">
        <w:t xml:space="preserve">implementing work health </w:t>
      </w:r>
      <w:r w:rsidRPr="00EE0A80">
        <w:t>and safety (WHS) procedures and practices including the use of risk control measures</w:t>
      </w:r>
    </w:p>
    <w:p w:rsidR="00000000" w:rsidRPr="00EE0A80" w:rsidP="00EE0A80">
      <w:pPr>
        <w:pStyle w:val="ListBullet"/>
      </w:pPr>
      <w:r w:rsidRPr="00EE0A80">
        <w:t>determining psychrometric processes and system performance</w:t>
      </w:r>
    </w:p>
    <w:p w:rsidR="00000000" w:rsidRPr="00EE0A80" w:rsidP="00EE0A80">
      <w:pPr>
        <w:pStyle w:val="ListBullet"/>
      </w:pPr>
      <w:r w:rsidRPr="00EE0A80">
        <w:t xml:space="preserve">plotting the psychrometric performance of a heating, ventilation and air conditioning and refrigeration (HVACR) </w:t>
      </w:r>
      <w:r w:rsidRPr="00EE0A80">
        <w:t>coil on at least two occasions</w:t>
      </w:r>
    </w:p>
    <w:p w:rsidR="00000000" w:rsidRPr="00EE0A80" w:rsidP="00EE0A80">
      <w:pPr>
        <w:pStyle w:val="ListBullet"/>
      </w:pPr>
      <w:r w:rsidRPr="00EE0A80">
        <w:t>determining the plant capacity and airflow rates for a building on at least two occasions</w:t>
      </w:r>
    </w:p>
    <w:p w:rsidR="00000000" w:rsidRPr="00EE0A80" w:rsidP="00EE0A80">
      <w:pPr>
        <w:pStyle w:val="ListBullet"/>
      </w:pPr>
      <w:r w:rsidRPr="00EE0A80">
        <w:t>determining system performance</w:t>
      </w:r>
    </w:p>
    <w:p w:rsidR="00000000" w:rsidRPr="00EE0A80" w:rsidP="00EE0A80">
      <w:pPr>
        <w:pStyle w:val="ListBullet"/>
      </w:pPr>
      <w:r w:rsidRPr="00EE0A80">
        <w:t>calculating the following:</w:t>
      </w:r>
    </w:p>
    <w:p w:rsidR="00000000" w:rsidRPr="00EE0A80" w:rsidP="00EE0A80">
      <w:pPr>
        <w:pStyle w:val="ListBullet2"/>
      </w:pPr>
      <w:r w:rsidRPr="00EE0A80">
        <w:t>psychrometric performance of the coil</w:t>
      </w:r>
    </w:p>
    <w:p w:rsidR="00000000" w:rsidRPr="00EE0A80" w:rsidP="00EE0A80">
      <w:pPr>
        <w:pStyle w:val="ListBullet2"/>
      </w:pPr>
      <w:r w:rsidRPr="00EE0A80">
        <w:t>psychrometric performance of HVACR spray equipment</w:t>
      </w:r>
    </w:p>
    <w:p w:rsidR="00000000" w:rsidRPr="00EE0A80" w:rsidP="00EE0A80">
      <w:pPr>
        <w:pStyle w:val="ListBullet2"/>
      </w:pPr>
      <w:r w:rsidRPr="00EE0A80">
        <w:t>required plant capacity and airflow rates</w:t>
      </w:r>
    </w:p>
    <w:p w:rsidR="00000000" w:rsidRPr="00EE0A80" w:rsidP="00EE0A80">
      <w:pPr>
        <w:pStyle w:val="ListBullet"/>
      </w:pPr>
      <w:r w:rsidRPr="00EE0A80">
        <w:t>communicating technical and procedural requirements to others</w:t>
      </w:r>
    </w:p>
    <w:p w:rsidR="00000000" w:rsidRPr="00EE0A80" w:rsidP="00EE0A80">
      <w:pPr>
        <w:pStyle w:val="ListBullet"/>
      </w:pPr>
      <w:r w:rsidRPr="00EE0A80">
        <w:t>dealing with unexpected situations.</w:t>
      </w:r>
    </w:p>
    <w:p w:rsidR="008B3E83" w:rsidP="008B3E83">
      <w:pPr>
        <w:pStyle w:val="BodyText"/>
      </w:pPr>
      <w:r w:rsidRPr="00EE0A80">
        <w:t>Note: Where a volume and/or frequency is not specified, demonstr</w:t>
      </w:r>
      <w:r w:rsidRPr="00EE0A80">
        <w:t>ation must be provided at least once.</w:t>
      </w:r>
    </w:p>
    <w:p w:rsidR="00000000" w:rsidRPr="00EE0A80" w:rsidP="00EE0A80">
      <w:pPr>
        <w:pStyle w:val="Heading1"/>
      </w:pPr>
      <w:bookmarkStart w:id="3" w:name="O_944511"/>
      <w:bookmarkEnd w:id="3"/>
      <w:r w:rsidRPr="00EE0A80">
        <w:t>Knowledge Evidence</w:t>
      </w:r>
    </w:p>
    <w:p w:rsidR="00000000" w:rsidRPr="00EE0A80" w:rsidP="008B3E83">
      <w:pPr>
        <w:pStyle w:val="BodyText"/>
      </w:pPr>
      <w:r w:rsidRPr="00EE0A80">
        <w:t>Evidence required to demonstrate the required knowledge for this unit must be relevant to and satisfy the requirements of the elements and performance criteria and include knowledge</w:t>
      </w:r>
      <w:r w:rsidRPr="00EE0A80">
        <w:t xml:space="preserve"> of:</w:t>
      </w:r>
    </w:p>
    <w:p w:rsidR="00000000" w:rsidRPr="00EE0A80" w:rsidP="00EE0A80">
      <w:pPr>
        <w:pStyle w:val="ListBullet"/>
      </w:pPr>
      <w:r w:rsidRPr="00EE0A80">
        <w:t>WHS considerations</w:t>
      </w:r>
    </w:p>
    <w:p w:rsidR="00000000" w:rsidRPr="00EE0A80" w:rsidP="00EE0A80">
      <w:pPr>
        <w:pStyle w:val="ListBullet"/>
      </w:pPr>
      <w:r w:rsidRPr="00EE0A80">
        <w:t>appropriate personnel</w:t>
      </w:r>
    </w:p>
    <w:p w:rsidR="00000000" w:rsidRPr="00EE0A80" w:rsidP="00EE0A80">
      <w:pPr>
        <w:pStyle w:val="ListBullet"/>
      </w:pPr>
      <w:r w:rsidRPr="00EE0A80">
        <w:t>systemic performance parameters</w:t>
      </w:r>
    </w:p>
    <w:p w:rsidR="00000000" w:rsidRPr="00EE0A80" w:rsidP="00EE0A80">
      <w:pPr>
        <w:pStyle w:val="ListBullet"/>
      </w:pPr>
      <w:r w:rsidRPr="00EE0A80">
        <w:t>adiabatic and evaporative cooling</w:t>
      </w:r>
    </w:p>
    <w:p w:rsidR="00000000" w:rsidRPr="00EE0A80" w:rsidP="00EE0A80">
      <w:pPr>
        <w:pStyle w:val="ListBullet"/>
      </w:pPr>
      <w:r w:rsidRPr="00EE0A80">
        <w:t>isothermal humidification</w:t>
      </w:r>
    </w:p>
    <w:p w:rsidR="00000000" w:rsidRPr="00EE0A80" w:rsidP="00EE0A80">
      <w:pPr>
        <w:pStyle w:val="ListBullet"/>
      </w:pPr>
      <w:r w:rsidRPr="00EE0A80">
        <w:t>cooling and dehumidification with high latent load</w:t>
      </w:r>
    </w:p>
    <w:p w:rsidR="00000000" w:rsidRPr="00EE0A80" w:rsidP="00EE0A80">
      <w:pPr>
        <w:pStyle w:val="ListBullet"/>
      </w:pPr>
      <w:r w:rsidRPr="00EE0A80">
        <w:t>cooling and dehumidification with all outdoor air</w:t>
      </w:r>
    </w:p>
    <w:p w:rsidR="00000000" w:rsidRPr="00EE0A80" w:rsidP="00EE0A80">
      <w:pPr>
        <w:pStyle w:val="ListBullet"/>
      </w:pPr>
      <w:r w:rsidRPr="00EE0A80">
        <w:t>cooling and dehumidification with all outdoor air and with dehumidified air requirements less than supply air</w:t>
      </w:r>
    </w:p>
    <w:p w:rsidR="00000000" w:rsidRPr="00EE0A80" w:rsidP="00EE0A80">
      <w:pPr>
        <w:pStyle w:val="ListBullet"/>
      </w:pPr>
      <w:r w:rsidRPr="00EE0A80">
        <w:t>cooling with evaporative humidification</w:t>
      </w:r>
    </w:p>
    <w:p w:rsidR="00000000" w:rsidRPr="00EE0A80" w:rsidP="00EE0A80">
      <w:pPr>
        <w:pStyle w:val="ListBullet"/>
      </w:pPr>
      <w:r w:rsidRPr="00EE0A80">
        <w:t>spray processes including cooling and dehumidification, cooling and humidification with heated spray water</w:t>
      </w:r>
      <w:r w:rsidRPr="00EE0A80">
        <w:t>, heating and humidification including:</w:t>
      </w:r>
    </w:p>
    <w:p w:rsidR="00000000" w:rsidRPr="00EE0A80" w:rsidP="00EE0A80">
      <w:pPr>
        <w:pStyle w:val="ListBullet2"/>
      </w:pPr>
      <w:r w:rsidRPr="00EE0A80">
        <w:t>partial load processes</w:t>
      </w:r>
    </w:p>
    <w:p w:rsidR="00000000" w:rsidRPr="00EE0A80" w:rsidP="00EE0A80">
      <w:pPr>
        <w:pStyle w:val="ListBullet2"/>
      </w:pPr>
      <w:r w:rsidRPr="00EE0A80">
        <w:t>reheat</w:t>
      </w:r>
    </w:p>
    <w:p w:rsidR="00000000" w:rsidRPr="00EE0A80" w:rsidP="00EE0A80">
      <w:pPr>
        <w:pStyle w:val="ListBullet2"/>
      </w:pPr>
      <w:r w:rsidRPr="00EE0A80">
        <w:t>bypass of return air and mix of return air and outside air including:</w:t>
      </w:r>
    </w:p>
    <w:p w:rsidR="00000000" w:rsidRPr="00EE0A80" w:rsidP="00EE0A80">
      <w:pPr>
        <w:pStyle w:val="ListBullet3"/>
      </w:pPr>
      <w:r w:rsidRPr="00EE0A80">
        <w:t>variable air volume</w:t>
      </w:r>
    </w:p>
    <w:p w:rsidR="00000000" w:rsidRPr="00EE0A80" w:rsidP="00EE0A80">
      <w:pPr>
        <w:pStyle w:val="ListBullet3"/>
      </w:pPr>
      <w:r w:rsidRPr="00EE0A80">
        <w:t>variable coil effective surface temperature</w:t>
      </w:r>
    </w:p>
    <w:p w:rsidR="00000000" w:rsidRPr="00EE0A80" w:rsidP="00EE0A80">
      <w:pPr>
        <w:pStyle w:val="ListBullet"/>
      </w:pPr>
      <w:r w:rsidRPr="00EE0A80">
        <w:t>analysis of cooling coil selection and performance</w:t>
      </w:r>
    </w:p>
    <w:p w:rsidR="00000000" w:rsidRPr="00EE0A80" w:rsidP="00EE0A80">
      <w:pPr>
        <w:pStyle w:val="ListBullet"/>
      </w:pPr>
      <w:r w:rsidRPr="00EE0A80">
        <w:t>psychrometric analyses, formulae and charts</w:t>
      </w:r>
    </w:p>
    <w:p w:rsidR="00000000" w:rsidRPr="00EE0A80" w:rsidP="00EE0A80">
      <w:pPr>
        <w:pStyle w:val="ListBullet"/>
      </w:pPr>
      <w:r w:rsidRPr="00EE0A80">
        <w:t>indirect evaporative coolers</w:t>
      </w:r>
    </w:p>
    <w:p w:rsidR="00000000" w:rsidRPr="00EE0A80" w:rsidP="00EE0A80">
      <w:pPr>
        <w:pStyle w:val="ListBullet"/>
      </w:pPr>
      <w:r w:rsidRPr="00EE0A80">
        <w:t>analysis of cooling coil selection and performance</w:t>
      </w:r>
    </w:p>
    <w:p w:rsidR="00000000" w:rsidRPr="00EE0A80" w:rsidP="00EE0A80">
      <w:pPr>
        <w:pStyle w:val="ListBullet"/>
      </w:pPr>
      <w:r w:rsidRPr="00EE0A80">
        <w:t>systemic performance parameters</w:t>
      </w:r>
    </w:p>
    <w:p w:rsidR="00000000" w:rsidRPr="00EE0A80" w:rsidP="00EE0A80">
      <w:pPr>
        <w:pStyle w:val="ListBullet"/>
      </w:pPr>
      <w:r w:rsidRPr="00EE0A80">
        <w:t>cooling tower characteristics</w:t>
      </w:r>
    </w:p>
    <w:p w:rsidR="008B3E83" w:rsidP="00EE0A80">
      <w:pPr>
        <w:pStyle w:val="ListBullet"/>
      </w:pPr>
      <w:r w:rsidRPr="00EE0A80">
        <w:t>environmental consi</w:t>
      </w:r>
      <w:r w:rsidRPr="00EE0A80">
        <w:t>derations</w:t>
      </w:r>
    </w:p>
    <w:p w:rsidR="008B3E83" w:rsidP="00EE0A80">
      <w:pPr>
        <w:pStyle w:val="ListBullet"/>
      </w:pPr>
    </w:p>
    <w:p w:rsidR="00000000" w:rsidRPr="00EE0A80" w:rsidP="00EE0A80">
      <w:pPr>
        <w:pStyle w:val="Heading1"/>
      </w:pPr>
      <w:bookmarkStart w:id="4" w:name="O_944510"/>
      <w:bookmarkEnd w:id="4"/>
      <w:r w:rsidRPr="00EE0A80">
        <w:t>Assessment Conditions</w:t>
      </w:r>
    </w:p>
    <w:p w:rsidR="00000000" w:rsidRPr="00EE0A80" w:rsidP="00EE0A80">
      <w:pPr>
        <w:pStyle w:val="ListBullet"/>
      </w:pPr>
      <w:r w:rsidRPr="00EE0A80">
        <w:t>Assessors must:</w:t>
      </w:r>
    </w:p>
    <w:p w:rsidR="00000000" w:rsidRPr="00EE0A80" w:rsidP="00EE0A80">
      <w:pPr>
        <w:pStyle w:val="ListBullet2"/>
      </w:pPr>
      <w:r w:rsidRPr="00EE0A80">
        <w:t>have vocational competency determining psychrometric processes and system performance at least to the level being assessed with relevant industry knowledge and experience</w:t>
      </w:r>
    </w:p>
    <w:p w:rsidR="00000000" w:rsidRPr="00EE0A80" w:rsidP="00EE0A80">
      <w:pPr>
        <w:pStyle w:val="ListBullet2"/>
      </w:pPr>
      <w:r w:rsidRPr="00EE0A80">
        <w:t xml:space="preserve">satisfy the assessor requirements in the </w:t>
      </w:r>
      <w:r w:rsidRPr="00EE0A80">
        <w:rPr>
          <w:rStyle w:val="Emphasis"/>
        </w:rPr>
        <w:t xml:space="preserve">Standards for Registered Training Organisations 2015 or its replacement </w:t>
      </w:r>
      <w:r w:rsidRPr="00EE0A80">
        <w:t xml:space="preserve">and comply with the </w:t>
      </w:r>
      <w:r w:rsidRPr="00EE0A80">
        <w:rPr>
          <w:rStyle w:val="Emphasis"/>
        </w:rPr>
        <w:t xml:space="preserve">National Vocational Education and Training Regulator Act 2011, </w:t>
      </w:r>
      <w:r w:rsidRPr="00EE0A80">
        <w:t>its replacement</w:t>
      </w:r>
      <w:r w:rsidRPr="00EE0A80">
        <w:rPr>
          <w:rStyle w:val="Emphasis"/>
        </w:rPr>
        <w:t xml:space="preserve"> </w:t>
      </w:r>
      <w:r w:rsidRPr="00EE0A80">
        <w:t>or equivalent legislation covering VET regul</w:t>
      </w:r>
      <w:r w:rsidRPr="00EE0A80">
        <w:t>ation in a non-referring state/territory as the case requires.</w:t>
      </w:r>
    </w:p>
    <w:p w:rsidR="00000000" w:rsidRPr="00EE0A80" w:rsidP="00EE0A80">
      <w:pPr>
        <w:pStyle w:val="ListBullet"/>
      </w:pPr>
      <w:r w:rsidRPr="00EE0A80">
        <w:t>Where possible assessment must occur in operational workplace situations. Where this is not possible or where personal safety or environmental damage are limiting factors, assessment must occu</w:t>
      </w:r>
      <w:r w:rsidRPr="00EE0A80">
        <w:t>r in a sufficiently rigorous simulated environment that reflects realistic operational workplace conditions that cover all aspects of workplace performance, including environment, task skills, task management skills, contingency management skills and job r</w:t>
      </w:r>
      <w:r w:rsidRPr="00EE0A80">
        <w:t>ole environment skills.</w:t>
      </w:r>
    </w:p>
    <w:p w:rsidR="00000000" w:rsidRPr="00EE0A80" w:rsidP="00EE0A80">
      <w:pPr>
        <w:pStyle w:val="ListBullet"/>
      </w:pPr>
      <w:r w:rsidRPr="00EE0A80">
        <w:t>Conditions for assessment must include access to all tools, equipment, materials and documentation required including relevant workplace procedures, product and manufacturing specifications.</w:t>
      </w:r>
    </w:p>
    <w:p w:rsidR="008B3E83" w:rsidP="00EE0A80">
      <w:pPr>
        <w:pStyle w:val="ListBullet"/>
      </w:pPr>
      <w:r w:rsidRPr="00EE0A80">
        <w:t xml:space="preserve">Assessment processes and techniques must </w:t>
      </w:r>
      <w:r w:rsidRPr="00EE0A80">
        <w:t>be appropriate to the language, literacy and numeracy requirements of the work being performed and the needs of the candidate.</w:t>
      </w:r>
    </w:p>
    <w:p w:rsidR="008B3E83" w:rsidP="00EE0A80">
      <w:pPr>
        <w:pStyle w:val="ListBullet"/>
      </w:pPr>
    </w:p>
    <w:p w:rsidR="00000000" w:rsidRPr="00EE0A80" w:rsidP="00EE0A80">
      <w:pPr>
        <w:pStyle w:val="Heading1"/>
      </w:pPr>
      <w:bookmarkStart w:id="5" w:name="O_944508"/>
      <w:bookmarkEnd w:id="5"/>
      <w:r w:rsidRPr="00EE0A80">
        <w:t>Links</w:t>
      </w:r>
    </w:p>
    <w:p w:rsidR="00000000" w:rsidRPr="00EE0A80" w:rsidP="008B3E83">
      <w:pPr>
        <w:pStyle w:val="BodyText"/>
      </w:pPr>
      <w:r w:rsidRPr="00EE0A80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77FC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E0A80" w:rsidP="00EE0A80"/>
    <w:sectPr w:rsidSect="00EE0A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A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A80" w:rsidRPr="008B3E83" w:rsidP="008B3E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A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E83" w:rsidP="00EE0A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3E83" w:rsidP="00EE0A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B3E83" w:rsidP="00EE0A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A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E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0A80" w:rsidRPr="008B3E83" w:rsidP="008B3E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A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E83" w:rsidRPr="002D2AF8" w:rsidP="00EE0A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MEM23142 Determine psychrometric processes and system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B3E83" w:rsidP="00EE0A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B4B9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CA12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6414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A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0A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0A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0A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0A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0A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0A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0A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0A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0A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0A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0A80"/>
  </w:style>
  <w:style w:type="character" w:customStyle="1" w:styleId="Heading1Char">
    <w:name w:val="Heading 1 Char"/>
    <w:basedOn w:val="DefaultParagraphFont"/>
    <w:link w:val="Heading1"/>
    <w:rsid w:val="00EE0A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0A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0A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0A8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0A8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E0A80"/>
    <w:rPr>
      <w:i/>
    </w:rPr>
  </w:style>
  <w:style w:type="paragraph" w:customStyle="1" w:styleId="SuperHeading">
    <w:name w:val="SuperHeading"/>
    <w:basedOn w:val="Normal"/>
    <w:rsid w:val="00EE0A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0A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E0A8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E0A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0A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0A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0A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0A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0A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0A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0A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0A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0A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0A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0A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0A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0A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0A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0A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0A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0A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0A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0A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0A80"/>
    <w:rPr>
      <w:b/>
      <w:spacing w:val="0"/>
    </w:rPr>
  </w:style>
  <w:style w:type="paragraph" w:customStyle="1" w:styleId="SuperTitle">
    <w:name w:val="SuperTitle"/>
    <w:basedOn w:val="Title"/>
    <w:rsid w:val="00EE0A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0A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0A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0A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0A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0A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0A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0A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0A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0A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0A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0A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0A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0A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0A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0A80"/>
  </w:style>
  <w:style w:type="paragraph" w:styleId="TableofFigures">
    <w:name w:val="table of figures"/>
    <w:basedOn w:val="Normal"/>
    <w:next w:val="Normal"/>
    <w:semiHidden/>
    <w:rsid w:val="00EE0A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0A8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E0A80"/>
    <w:rPr>
      <w:rFonts w:ascii="Wingdings" w:hAnsi="Wingdings"/>
    </w:rPr>
  </w:style>
  <w:style w:type="paragraph" w:customStyle="1" w:styleId="TableHeading">
    <w:name w:val="Table Heading"/>
    <w:basedOn w:val="HeadingBase"/>
    <w:rsid w:val="00EE0A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0A80"/>
    <w:rPr>
      <w:color w:val="0033CC"/>
      <w:u w:val="none"/>
    </w:rPr>
  </w:style>
  <w:style w:type="paragraph" w:customStyle="1" w:styleId="BodyTextRight">
    <w:name w:val="Body Text Right"/>
    <w:basedOn w:val="BodyText"/>
    <w:rsid w:val="00EE0A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0A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0A8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0A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0A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0A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0A80"/>
    <w:rPr>
      <w:sz w:val="32"/>
    </w:rPr>
  </w:style>
  <w:style w:type="paragraph" w:customStyle="1" w:styleId="HeadingProcedure">
    <w:name w:val="Heading Procedure"/>
    <w:basedOn w:val="HeadingBase"/>
    <w:next w:val="Normal"/>
    <w:rsid w:val="00EE0A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0A80"/>
    <w:pPr>
      <w:spacing w:before="60" w:after="60"/>
    </w:pPr>
  </w:style>
  <w:style w:type="paragraph" w:styleId="ListContinue">
    <w:name w:val="List Continue"/>
    <w:basedOn w:val="List"/>
    <w:rsid w:val="00EE0A80"/>
    <w:pPr>
      <w:ind w:firstLine="0"/>
    </w:pPr>
  </w:style>
  <w:style w:type="paragraph" w:customStyle="1" w:styleId="ListNote">
    <w:name w:val="List Note"/>
    <w:basedOn w:val="List"/>
    <w:rsid w:val="00EE0A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0A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0A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0A80"/>
    <w:rPr>
      <w:rFonts w:ascii="Courier New" w:hAnsi="Courier New"/>
    </w:rPr>
  </w:style>
  <w:style w:type="paragraph" w:customStyle="1" w:styleId="NoteBullet">
    <w:name w:val="Note Bullet"/>
    <w:basedOn w:val="Note"/>
    <w:rsid w:val="00EE0A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0A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0A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0A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0A8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E0A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0A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0A80"/>
    <w:rPr>
      <w:b/>
      <w:smallCaps/>
    </w:rPr>
  </w:style>
  <w:style w:type="paragraph" w:customStyle="1" w:styleId="TableListNumber">
    <w:name w:val="Table List Number"/>
    <w:basedOn w:val="ListNumber"/>
    <w:rsid w:val="00EE0A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0A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0A80"/>
    <w:pPr>
      <w:numPr>
        <w:numId w:val="10"/>
      </w:numPr>
    </w:pPr>
  </w:style>
  <w:style w:type="paragraph" w:customStyle="1" w:styleId="ListAlpha2">
    <w:name w:val="List Alpha 2"/>
    <w:basedOn w:val="List2"/>
    <w:rsid w:val="00EE0A80"/>
    <w:pPr>
      <w:numPr>
        <w:numId w:val="9"/>
      </w:numPr>
    </w:pPr>
  </w:style>
  <w:style w:type="paragraph" w:styleId="List2">
    <w:name w:val="List 2"/>
    <w:basedOn w:val="BodyText"/>
    <w:rsid w:val="00EE0A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0A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0A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0A8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E0A8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E0A80"/>
    <w:pPr>
      <w:numPr>
        <w:numId w:val="5"/>
      </w:numPr>
    </w:pPr>
  </w:style>
  <w:style w:type="paragraph" w:styleId="ListContinue2">
    <w:name w:val="List Continue 2"/>
    <w:basedOn w:val="List2"/>
    <w:rsid w:val="00EE0A80"/>
    <w:pPr>
      <w:ind w:firstLine="0"/>
    </w:pPr>
  </w:style>
  <w:style w:type="paragraph" w:styleId="ListContinue3">
    <w:name w:val="List Continue 3"/>
    <w:basedOn w:val="List3"/>
    <w:rsid w:val="00EE0A80"/>
    <w:pPr>
      <w:ind w:left="1021" w:firstLine="0"/>
    </w:pPr>
  </w:style>
  <w:style w:type="paragraph" w:styleId="ListContinue4">
    <w:name w:val="List Continue 4"/>
    <w:basedOn w:val="List4"/>
    <w:rsid w:val="00EE0A80"/>
    <w:pPr>
      <w:ind w:firstLine="0"/>
    </w:pPr>
  </w:style>
  <w:style w:type="paragraph" w:styleId="ListContinue5">
    <w:name w:val="List Continue 5"/>
    <w:basedOn w:val="List5"/>
    <w:rsid w:val="00EE0A80"/>
    <w:pPr>
      <w:ind w:firstLine="0"/>
    </w:pPr>
  </w:style>
  <w:style w:type="paragraph" w:styleId="ListNumber3">
    <w:name w:val="List Number 3"/>
    <w:basedOn w:val="List3"/>
    <w:rsid w:val="00EE0A80"/>
    <w:pPr>
      <w:numPr>
        <w:numId w:val="6"/>
      </w:numPr>
    </w:pPr>
  </w:style>
  <w:style w:type="paragraph" w:styleId="ListNumber4">
    <w:name w:val="List Number 4"/>
    <w:basedOn w:val="List4"/>
    <w:rsid w:val="00EE0A80"/>
    <w:pPr>
      <w:numPr>
        <w:numId w:val="7"/>
      </w:numPr>
    </w:pPr>
  </w:style>
  <w:style w:type="paragraph" w:styleId="ListNumber5">
    <w:name w:val="List Number 5"/>
    <w:basedOn w:val="List5"/>
    <w:rsid w:val="00EE0A80"/>
    <w:pPr>
      <w:numPr>
        <w:numId w:val="8"/>
      </w:numPr>
    </w:pPr>
  </w:style>
  <w:style w:type="paragraph" w:styleId="BlockText">
    <w:name w:val="Block Text"/>
    <w:basedOn w:val="Normal"/>
    <w:rsid w:val="00EE0A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0A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0A80"/>
    <w:rPr>
      <w:sz w:val="16"/>
      <w:vertAlign w:val="superscript"/>
    </w:rPr>
  </w:style>
  <w:style w:type="character" w:customStyle="1" w:styleId="Symbols">
    <w:name w:val="Symbols"/>
    <w:basedOn w:val="DefaultParagraphFont"/>
    <w:rsid w:val="00EE0A80"/>
    <w:rPr>
      <w:rFonts w:ascii="Symbol" w:hAnsi="Symbol"/>
    </w:rPr>
  </w:style>
  <w:style w:type="character" w:customStyle="1" w:styleId="MenuOptions">
    <w:name w:val="Menu Options"/>
    <w:basedOn w:val="DefaultParagraphFont"/>
    <w:rsid w:val="00EE0A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0A80"/>
    <w:rPr>
      <w:b/>
    </w:rPr>
  </w:style>
  <w:style w:type="character" w:customStyle="1" w:styleId="Underlined">
    <w:name w:val="Underlined"/>
    <w:basedOn w:val="DefaultParagraphFont"/>
    <w:rsid w:val="00EE0A80"/>
    <w:rPr>
      <w:u w:val="single"/>
    </w:rPr>
  </w:style>
  <w:style w:type="paragraph" w:customStyle="1" w:styleId="TableBodyTextRight">
    <w:name w:val="Table Body Text Right"/>
    <w:basedOn w:val="TableBodyText"/>
    <w:rsid w:val="00EE0A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0A80"/>
    <w:rPr>
      <w:sz w:val="18"/>
    </w:rPr>
  </w:style>
  <w:style w:type="paragraph" w:customStyle="1" w:styleId="BodySmallRight">
    <w:name w:val="Body Small Right"/>
    <w:basedOn w:val="BodyTextRight"/>
    <w:rsid w:val="00EE0A80"/>
    <w:rPr>
      <w:sz w:val="18"/>
      <w:szCs w:val="18"/>
    </w:rPr>
  </w:style>
  <w:style w:type="paragraph" w:customStyle="1" w:styleId="MarginEdition">
    <w:name w:val="Margin Edition"/>
    <w:basedOn w:val="MarginNote"/>
    <w:rsid w:val="00EE0A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0A80"/>
    <w:rPr>
      <w:sz w:val="2"/>
      <w:szCs w:val="2"/>
    </w:rPr>
  </w:style>
  <w:style w:type="character" w:customStyle="1" w:styleId="Small">
    <w:name w:val="Small"/>
    <w:basedOn w:val="DefaultParagraphFont"/>
    <w:rsid w:val="00EE0A80"/>
    <w:rPr>
      <w:sz w:val="16"/>
    </w:rPr>
  </w:style>
  <w:style w:type="paragraph" w:customStyle="1" w:styleId="WideTable">
    <w:name w:val="Wide Table"/>
    <w:basedOn w:val="Normal"/>
    <w:rsid w:val="00EE0A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0A80"/>
  </w:style>
  <w:style w:type="paragraph" w:styleId="Quote">
    <w:name w:val="Quote"/>
    <w:basedOn w:val="Heading1"/>
    <w:link w:val="QuoteChar"/>
    <w:qFormat/>
    <w:rsid w:val="00EE0A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0A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0A80"/>
    <w:pPr>
      <w:pageBreakBefore/>
    </w:pPr>
  </w:style>
  <w:style w:type="paragraph" w:customStyle="1" w:styleId="Border">
    <w:name w:val="Border"/>
    <w:basedOn w:val="Normal"/>
    <w:qFormat/>
    <w:rsid w:val="00EE0A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0A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A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A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0A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0A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0A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0A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0A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0A80"/>
    <w:rPr>
      <w:u w:val="single"/>
    </w:rPr>
  </w:style>
  <w:style w:type="character" w:customStyle="1" w:styleId="BoldandItalics">
    <w:name w:val="Bold and Italics"/>
    <w:qFormat/>
    <w:rsid w:val="00EE0A80"/>
    <w:rPr>
      <w:b/>
      <w:i/>
      <w:u w:val="none"/>
    </w:rPr>
  </w:style>
  <w:style w:type="paragraph" w:styleId="BalloonText">
    <w:name w:val="Balloon Text"/>
    <w:basedOn w:val="Normal"/>
    <w:link w:val="BalloonTextChar"/>
    <w:rsid w:val="00EE0A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A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0A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0A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0A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0A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0A80"/>
    <w:pPr>
      <w:spacing w:before="0" w:after="0"/>
    </w:pPr>
  </w:style>
  <w:style w:type="paragraph" w:customStyle="1" w:styleId="BodyTextBold">
    <w:name w:val="Body Text Bold"/>
    <w:basedOn w:val="BodyText"/>
    <w:qFormat/>
    <w:rsid w:val="00EE0A80"/>
    <w:rPr>
      <w:b/>
    </w:rPr>
  </w:style>
  <w:style w:type="character" w:styleId="Hyperlink">
    <w:name w:val="Hyperlink"/>
    <w:basedOn w:val="DefaultParagraphFont"/>
    <w:uiPriority w:val="99"/>
    <w:unhideWhenUsed/>
    <w:rsid w:val="008B3E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3669</Characters>
  <Application>Microsoft Office Word</Application>
  <DocSecurity>0</DocSecurity>
  <Lines>87</Lines>
  <Paragraphs>61</Paragraphs>
  <ScaleCrop>false</ScaleCrop>
  <Company>Author-it Software Corporation Ltd.</Company>
  <LinksUpToDate>false</LinksUpToDate>
  <CharactersWithSpaces>4136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MEM23142 Determine psychrometric processes and system performance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2023-02-03T06:18:00Z</dcterms:created>
  <dcterms:modified xsi:type="dcterms:W3CDTF">2023-02-03T06:18:00Z</dcterms:modified>
</cp:coreProperties>
</file>