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F66" w:rsidP="006E1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MEM23141 Complete a building thermal performance survey</w:t>
      </w:r>
      <w:r>
        <w:fldChar w:fldCharType="end"/>
      </w:r>
    </w:p>
    <w:p w:rsidR="006E1F66" w:rsidP="006E1F66">
      <w:pPr>
        <w:pStyle w:val="Version"/>
        <w:sectPr w:rsidSect="00524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ED5" w:rsidP="00524ED5">
      <w:pPr>
        <w:pStyle w:val="SuperHeading"/>
      </w:pPr>
      <w:r w:rsidRPr="00524ED5">
        <w:t>MEM23141 Complete a building thermal performance survey</w:t>
      </w:r>
    </w:p>
    <w:p w:rsidR="00000000" w:rsidRPr="00524ED5" w:rsidP="00524ED5">
      <w:pPr>
        <w:pStyle w:val="Heading1"/>
      </w:pPr>
      <w:bookmarkStart w:id="1" w:name="O_944494"/>
      <w:bookmarkEnd w:id="1"/>
      <w:r w:rsidRPr="00524ED5">
        <w:t>Modification History</w:t>
      </w:r>
    </w:p>
    <w:p w:rsidR="006E1F66" w:rsidP="006E1F66">
      <w:pPr>
        <w:pStyle w:val="BodyText"/>
      </w:pPr>
      <w:r w:rsidRPr="00524ED5">
        <w:t>Release 1. Supersedes and is equivalent to MEM23141A Complete a building thermal performance survey.</w:t>
      </w:r>
    </w:p>
    <w:p w:rsidR="00000000" w:rsidRPr="00524ED5" w:rsidP="00524ED5">
      <w:pPr>
        <w:pStyle w:val="Heading1"/>
      </w:pPr>
      <w:bookmarkStart w:id="2" w:name="O_944502"/>
      <w:bookmarkEnd w:id="2"/>
      <w:r w:rsidRPr="00524ED5">
        <w:t>Application</w:t>
      </w:r>
    </w:p>
    <w:p w:rsidR="00000000" w:rsidRPr="00524ED5" w:rsidP="006E1F66">
      <w:pPr>
        <w:pStyle w:val="BodyText"/>
      </w:pPr>
      <w:r w:rsidRPr="00524ED5">
        <w:t>This unit of competency defines the skills and knowledge required to carry out a detaile</w:t>
      </w:r>
      <w:r w:rsidRPr="00524ED5">
        <w:t>d heat load estimate for a multiple zone commercial or industrial building and then analyse building thermal performance and document results.</w:t>
      </w:r>
    </w:p>
    <w:p w:rsidR="00000000" w:rsidRPr="00524ED5" w:rsidP="006E1F66">
      <w:pPr>
        <w:pStyle w:val="BodyText"/>
      </w:pPr>
      <w:r w:rsidRPr="00524ED5">
        <w:t>It applies to technicians in heating, ventilation and air conditioning (HVAC) manufacturing, servicing and mainte</w:t>
      </w:r>
      <w:r w:rsidRPr="00524ED5">
        <w:t>nance organisations who are required to conduct a building performance survey to inform the design and specification of HVAC equipment and system/s, including consideration of improvements to building design.</w:t>
      </w:r>
    </w:p>
    <w:p w:rsidR="006E1F66" w:rsidP="006E1F66">
      <w:pPr>
        <w:pStyle w:val="BodyText"/>
      </w:pPr>
      <w:r w:rsidRPr="00524ED5">
        <w:t>No licensing, legislative or certification requ</w:t>
      </w:r>
      <w:r w:rsidRPr="00524ED5">
        <w:t>irements apply to this unit at the time of publication.</w:t>
      </w:r>
    </w:p>
    <w:p w:rsidR="00000000" w:rsidRPr="00524ED5" w:rsidP="00524ED5">
      <w:pPr>
        <w:pStyle w:val="Heading1"/>
      </w:pPr>
      <w:bookmarkStart w:id="3" w:name="O_944501"/>
      <w:bookmarkEnd w:id="3"/>
      <w:r w:rsidRPr="00524ED5">
        <w:t>Pre-requisite Unit</w:t>
      </w:r>
    </w:p>
    <w:p w:rsidR="00000000" w:rsidRPr="00524ED5" w:rsidP="006E1F66">
      <w:pPr>
        <w:pStyle w:val="Heading3"/>
      </w:pPr>
      <w:r w:rsidRPr="00524ED5">
        <w:t>MEM23004 Apply technical mathematics</w:t>
      </w:r>
    </w:p>
    <w:p w:rsidR="00000000" w:rsidRPr="00524ED5" w:rsidP="006E1F66">
      <w:pPr>
        <w:pStyle w:val="BodyText"/>
      </w:pPr>
      <w:r w:rsidRPr="00524ED5">
        <w:t>MEM23006 Apply fluid and thermodynamics principles in engineering</w:t>
      </w:r>
    </w:p>
    <w:p w:rsidR="006E1F66" w:rsidP="006E1F66">
      <w:pPr>
        <w:pStyle w:val="BodyText"/>
      </w:pPr>
      <w:r w:rsidRPr="00524ED5">
        <w:t>MEM23142 Determine psychrometric processes and system perfor</w:t>
      </w:r>
      <w:r w:rsidRPr="00524ED5">
        <w:t>mance</w:t>
      </w:r>
    </w:p>
    <w:p w:rsidR="00000000" w:rsidRPr="00524ED5" w:rsidP="00524ED5">
      <w:pPr>
        <w:pStyle w:val="Heading1"/>
      </w:pPr>
      <w:bookmarkStart w:id="4" w:name="O_944500"/>
      <w:bookmarkEnd w:id="4"/>
      <w:r w:rsidRPr="00524ED5">
        <w:t>Competency Field</w:t>
      </w:r>
    </w:p>
    <w:p w:rsidR="006E1F66" w:rsidP="006E1F66">
      <w:pPr>
        <w:pStyle w:val="BodyText"/>
      </w:pPr>
      <w:r w:rsidRPr="00524ED5">
        <w:t>Engineering science</w:t>
      </w:r>
    </w:p>
    <w:p w:rsidR="00000000" w:rsidRPr="00524ED5" w:rsidP="00524ED5">
      <w:pPr>
        <w:pStyle w:val="Heading1"/>
      </w:pPr>
      <w:bookmarkStart w:id="5" w:name="O_944498"/>
      <w:bookmarkEnd w:id="5"/>
      <w:r w:rsidRPr="00524ED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rPr>
                <w:rStyle w:val="SpecialBold"/>
              </w:rPr>
              <w:t>Performance Criteria</w:t>
            </w:r>
          </w:p>
        </w:tc>
      </w:tr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rPr>
                <w:rStyle w:val="Emphasis"/>
              </w:rPr>
              <w:t xml:space="preserve">Elements describe the </w:t>
            </w:r>
            <w:r w:rsidRPr="00524ED5">
              <w:t xml:space="preserve">essential </w:t>
            </w:r>
            <w:r w:rsidRPr="00524ED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 xml:space="preserve">1. Estimate heat load for a multiple zone commercial or industrial </w:t>
            </w:r>
            <w:r w:rsidRPr="00524ED5">
              <w:t>building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t>1.1 Obtain and implement work health and safety (WHS) and environmental requirement</w:t>
            </w:r>
            <w:r w:rsidRPr="00524ED5">
              <w:t>s for the work area</w:t>
            </w:r>
          </w:p>
          <w:p w:rsidR="00000000" w:rsidRPr="00524ED5" w:rsidP="00524ED5">
            <w:pPr>
              <w:pStyle w:val="BodyText"/>
            </w:pPr>
            <w:r w:rsidRPr="00524ED5">
              <w:t xml:space="preserve">1.2 Determine extent of the performance survey from work sheets, </w:t>
            </w:r>
            <w:r w:rsidRPr="00524ED5">
              <w:t>drawings, building specifications or other documentation and discussions with appropriate personnel</w:t>
            </w:r>
          </w:p>
          <w:p w:rsidR="00000000" w:rsidRPr="00524ED5" w:rsidP="00524ED5">
            <w:pPr>
              <w:pStyle w:val="BodyText"/>
            </w:pPr>
            <w:r w:rsidRPr="00524ED5">
              <w:t>1.3 Determine sources of heat gains</w:t>
            </w:r>
          </w:p>
          <w:p w:rsidR="00000000" w:rsidRPr="00524ED5" w:rsidP="00524ED5">
            <w:pPr>
              <w:pStyle w:val="BodyText"/>
            </w:pPr>
            <w:r w:rsidRPr="00524ED5">
              <w:t>1.4 Coordinate work effectively wit</w:t>
            </w:r>
            <w:r w:rsidRPr="00524ED5">
              <w:t>h all team members</w:t>
            </w:r>
          </w:p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1.5 Obtain and check resources and equipment required for the performance survey</w:t>
            </w:r>
          </w:p>
        </w:tc>
      </w:tr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2. Analyse the air conditioning heat and cooling load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t>2.1 Complete room sensible and latent heat estimates of a multiple zone building</w:t>
            </w:r>
          </w:p>
          <w:p w:rsidR="00000000" w:rsidRPr="00524ED5" w:rsidP="00524ED5">
            <w:pPr>
              <w:pStyle w:val="BodyText"/>
            </w:pPr>
            <w:r w:rsidRPr="00524ED5">
              <w:t>2.2 Identify peak effective room latent and sensible and latent heat loads over time of day and year for each zone</w:t>
            </w:r>
          </w:p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2.3 Determine the thermal performance of the building using simulation software</w:t>
            </w:r>
          </w:p>
        </w:tc>
      </w:tr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3. Investigate building design improvement options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t>3.1 Analy</w:t>
            </w:r>
            <w:r w:rsidRPr="00524ED5">
              <w:t>se alternative building design improvement options with respect to the effect on thermal performance using simulation software</w:t>
            </w:r>
          </w:p>
          <w:p w:rsidR="00000000" w:rsidRPr="00524ED5" w:rsidP="00524ED5">
            <w:pPr>
              <w:pStyle w:val="BodyText"/>
            </w:pPr>
            <w:r w:rsidRPr="00524ED5">
              <w:t>3.2 Identify unacceptably high thermal loads on the building using check figures and industry standards</w:t>
            </w:r>
          </w:p>
          <w:p w:rsidR="00000000" w:rsidRPr="00524ED5" w:rsidP="00524ED5">
            <w:pPr>
              <w:pStyle w:val="BodyText"/>
            </w:pPr>
            <w:r w:rsidRPr="00524ED5">
              <w:t>3.3 Prepare recommendatio</w:t>
            </w:r>
            <w:r w:rsidRPr="00524ED5">
              <w:t>ns for changes in building design and/or treatment to eliminate unacceptably high thermal loads</w:t>
            </w:r>
          </w:p>
          <w:p w:rsidR="00000000" w:rsidRPr="00524ED5" w:rsidP="00524ED5">
            <w:pPr>
              <w:pStyle w:val="BodyText"/>
            </w:pPr>
            <w:r w:rsidRPr="00524ED5">
              <w:t>3.4 Document and recommend improvements of thermal performance of the building to appropriate personnel</w:t>
            </w:r>
          </w:p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3.5 Consult as required on unexpected situations and tak</w:t>
            </w:r>
            <w:r w:rsidRPr="00524ED5">
              <w:t>e appropriate action</w:t>
            </w:r>
          </w:p>
        </w:tc>
      </w:tr>
      <w:tr w:rsidTr="006E1F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4. Specify system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BodyText"/>
            </w:pPr>
            <w:r w:rsidRPr="00524ED5">
              <w:t>4.1 Determine equipment size, including coil and air handling unit capacities for constant and variable volume systems, and central refrigeration and boiler capacities based on the recommendations</w:t>
            </w:r>
          </w:p>
          <w:p w:rsidR="00000000" w:rsidRPr="00524ED5" w:rsidP="00524ED5">
            <w:pPr>
              <w:pStyle w:val="BodyText"/>
            </w:pPr>
            <w:r w:rsidRPr="00524ED5">
              <w:t>4.2 Document</w:t>
            </w:r>
            <w:r w:rsidRPr="00524ED5">
              <w:t xml:space="preserve"> the completed survey in accordance with organisational procedures, including all recommendations, building design improvements and/or treatments, and appropriate system design specifications</w:t>
            </w:r>
          </w:p>
          <w:p w:rsidR="00000000" w:rsidRPr="00524ED5" w:rsidP="00524ED5">
            <w:pPr>
              <w:pStyle w:val="BodyText"/>
            </w:pPr>
            <w:r w:rsidRPr="00524ED5">
              <w:t>4.3 Prepare a formal survey report in consultation with appropri</w:t>
            </w:r>
            <w:r w:rsidRPr="00524ED5">
              <w:t>ate personnel and in accordance with organisational procedures</w:t>
            </w:r>
          </w:p>
        </w:tc>
      </w:tr>
    </w:tbl>
    <w:p w:rsidR="006E1F66" w:rsidP="00524ED5">
      <w:pPr>
        <w:pStyle w:val="BodyText"/>
      </w:pPr>
    </w:p>
    <w:p w:rsidR="006E1F66" w:rsidP="00524ED5">
      <w:pPr>
        <w:pStyle w:val="BodyText"/>
      </w:pPr>
    </w:p>
    <w:p w:rsidR="00000000" w:rsidRPr="00524ED5" w:rsidP="00524ED5">
      <w:pPr>
        <w:pStyle w:val="Heading1"/>
      </w:pPr>
      <w:bookmarkStart w:id="6" w:name="O_944497"/>
      <w:bookmarkEnd w:id="6"/>
      <w:r w:rsidRPr="00524ED5">
        <w:t>Foundation Skills</w:t>
      </w:r>
    </w:p>
    <w:p w:rsidR="00000000" w:rsidRPr="00524ED5" w:rsidP="006E1F66">
      <w:pPr>
        <w:pStyle w:val="BodyText"/>
      </w:pPr>
      <w:r w:rsidRPr="00524ED5">
        <w:t>This section describes those language, literacy, numeracy and employment skills that are essential to performance.</w:t>
      </w:r>
    </w:p>
    <w:p w:rsidR="006E1F66" w:rsidP="006E1F66">
      <w:pPr>
        <w:pStyle w:val="BodyText"/>
      </w:pPr>
      <w:r w:rsidRPr="00524ED5">
        <w:t>Foundation skills essential to performance are explicit in the performance criteria of this unit of competency.</w:t>
      </w:r>
    </w:p>
    <w:p w:rsidR="00000000" w:rsidRPr="00524ED5" w:rsidP="00524ED5">
      <w:pPr>
        <w:pStyle w:val="Heading1"/>
      </w:pPr>
      <w:bookmarkStart w:id="7" w:name="O_944496"/>
      <w:bookmarkEnd w:id="7"/>
      <w:r w:rsidRPr="00524ED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This field allows for different work environments and conditions that may affect performance. Essential op</w:t>
            </w:r>
            <w:r w:rsidRPr="00524ED5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legislation</w:t>
            </w:r>
          </w:p>
          <w:p w:rsidR="00000000" w:rsidRPr="00524ED5" w:rsidP="00524ED5">
            <w:pPr>
              <w:pStyle w:val="ListBullet"/>
            </w:pPr>
            <w:r w:rsidRPr="00524ED5">
              <w:t>protective equipment</w:t>
            </w:r>
          </w:p>
          <w:p w:rsidR="00000000" w:rsidRPr="00524ED5" w:rsidP="00524ED5">
            <w:pPr>
              <w:pStyle w:val="ListBullet"/>
            </w:pPr>
            <w:r w:rsidRPr="00524ED5">
              <w:t>material safet</w:t>
            </w:r>
            <w:r w:rsidRPr="00524ED5">
              <w:t>y management systems</w:t>
            </w:r>
          </w:p>
          <w:p w:rsidR="00000000" w:rsidRPr="00524ED5" w:rsidP="00524ED5">
            <w:pPr>
              <w:pStyle w:val="ListBullet"/>
            </w:pPr>
            <w:r w:rsidRPr="00524ED5">
              <w:t>hazardous substances and dangerous goods code</w:t>
            </w:r>
          </w:p>
          <w:p w:rsidR="00000000" w:rsidRPr="00524ED5" w:rsidP="00524ED5">
            <w:pPr>
              <w:pStyle w:val="ListBullet"/>
            </w:pPr>
            <w:r w:rsidRPr="00524ED5">
              <w:t>local safe operation procedures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awards provisions.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relevant legislation, regulations and codes</w:t>
            </w:r>
          </w:p>
          <w:p w:rsidR="00000000" w:rsidRPr="00524ED5" w:rsidP="00524ED5">
            <w:pPr>
              <w:pStyle w:val="ListBullet"/>
            </w:pPr>
            <w:r w:rsidRPr="00524ED5">
              <w:t>correct handling and disposal of liquid and solid waste</w:t>
            </w:r>
          </w:p>
          <w:p w:rsidR="00000000" w:rsidRPr="00524ED5" w:rsidP="00524ED5">
            <w:pPr>
              <w:pStyle w:val="ListBullet"/>
            </w:pPr>
            <w:r w:rsidRPr="00524ED5">
              <w:t>elimination or minimisation of gas, fume, vapour and smoke emissions, including fugitive emissions</w:t>
            </w:r>
          </w:p>
          <w:p w:rsidR="00000000" w:rsidRPr="00524ED5" w:rsidP="00524ED5">
            <w:pPr>
              <w:pStyle w:val="ListBullet"/>
            </w:pPr>
            <w:r w:rsidRPr="00524ED5">
              <w:t>dust elimination, minimisation and control</w:t>
            </w:r>
          </w:p>
          <w:p w:rsidR="00000000" w:rsidRPr="00524ED5" w:rsidP="00524ED5">
            <w:pPr>
              <w:pStyle w:val="ListBullet"/>
            </w:pPr>
            <w:r w:rsidRPr="00524ED5">
              <w:t>minimisation of energy and water use</w:t>
            </w:r>
          </w:p>
          <w:p w:rsidR="00000000" w:rsidRPr="00524ED5" w:rsidP="00524ED5">
            <w:pPr>
              <w:pStyle w:val="ListBullet"/>
            </w:pPr>
            <w:r w:rsidRPr="00524ED5">
              <w:t>elimination or control of excessive noise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use and recycling of refrigerants.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supervisor, leading hand, foreman or manager</w:t>
            </w:r>
          </w:p>
          <w:p w:rsidR="00000000" w:rsidRPr="00524ED5" w:rsidP="00524ED5">
            <w:pPr>
              <w:pStyle w:val="ListBullet"/>
            </w:pPr>
            <w:r w:rsidRPr="00524ED5">
              <w:t>engineer</w:t>
            </w:r>
          </w:p>
          <w:p w:rsidR="00000000" w:rsidRPr="00524ED5" w:rsidP="00524ED5">
            <w:pPr>
              <w:pStyle w:val="ListBullet"/>
            </w:pPr>
            <w:r w:rsidRPr="00524ED5">
              <w:t>technician</w:t>
            </w:r>
          </w:p>
          <w:p w:rsidR="00000000" w:rsidRPr="00524ED5" w:rsidP="00524ED5">
            <w:pPr>
              <w:pStyle w:val="ListBullet"/>
            </w:pPr>
            <w:r w:rsidRPr="00524ED5">
              <w:t>trainer or mentor</w:t>
            </w:r>
          </w:p>
          <w:p w:rsidR="00000000" w:rsidRPr="00524ED5" w:rsidP="00524ED5">
            <w:pPr>
              <w:pStyle w:val="ListBullet"/>
            </w:pPr>
            <w:r w:rsidRPr="00524ED5">
              <w:t>team member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customer.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Heat gains include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external factors</w:t>
            </w:r>
          </w:p>
          <w:p w:rsidR="00000000" w:rsidRPr="00524ED5" w:rsidP="00524ED5">
            <w:pPr>
              <w:pStyle w:val="ListBullet"/>
            </w:pPr>
            <w:r w:rsidRPr="00524ED5">
              <w:t>internal factors</w:t>
            </w:r>
          </w:p>
          <w:p w:rsidR="00000000" w:rsidRPr="00524ED5" w:rsidP="00524ED5">
            <w:pPr>
              <w:pStyle w:val="ListBullet"/>
            </w:pPr>
            <w:r w:rsidRPr="00524ED5">
              <w:t>system</w:t>
            </w:r>
          </w:p>
          <w:p w:rsidR="00000000" w:rsidRPr="00524ED5" w:rsidP="00524ED5">
            <w:pPr>
              <w:pStyle w:val="ListBullet"/>
            </w:pPr>
            <w:r w:rsidRPr="00524ED5">
              <w:t>U-values and infiltration rates for various wall and/or roof constructions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measurement of sun azimuth and altitude angles, and overall shade factors for various windows.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Resources and equipment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computer workstation</w:t>
            </w:r>
          </w:p>
          <w:p w:rsidR="00000000" w:rsidRPr="00524ED5" w:rsidP="00524ED5">
            <w:pPr>
              <w:pStyle w:val="ListBullet"/>
            </w:pPr>
            <w:r w:rsidRPr="00524ED5">
              <w:t>appropriate simulation and rep</w:t>
            </w:r>
            <w:r w:rsidRPr="00524ED5">
              <w:t>orting software</w:t>
            </w:r>
          </w:p>
          <w:p w:rsidR="00000000" w:rsidRPr="00524ED5" w:rsidP="00524ED5">
            <w:pPr>
              <w:pStyle w:val="ListBullet"/>
            </w:pPr>
            <w:r w:rsidRPr="00524ED5">
              <w:t>reference manuals and charts</w:t>
            </w:r>
          </w:p>
          <w:p w:rsidR="00000000" w:rsidRPr="00524ED5" w:rsidP="00524ED5">
            <w:pPr>
              <w:pStyle w:val="ListBullet"/>
            </w:pPr>
            <w:r w:rsidRPr="00524ED5">
              <w:t>appropriate measurement equipment</w:t>
            </w:r>
          </w:p>
          <w:p w:rsidR="00000000" w:rsidRPr="00524ED5" w:rsidP="00524ED5">
            <w:pPr>
              <w:pStyle w:val="ListBullet"/>
            </w:pPr>
            <w:r w:rsidRPr="00524ED5">
              <w:t>building codes and codes of conduct</w:t>
            </w:r>
          </w:p>
          <w:p w:rsidR="00000000" w:rsidRPr="00524ED5" w:rsidP="00524ED5">
            <w:pPr>
              <w:pStyle w:val="ListBullet"/>
            </w:pPr>
            <w:r w:rsidRPr="00524ED5">
              <w:t>access to legislative and regulatory requirements</w:t>
            </w:r>
          </w:p>
          <w:p w:rsidR="00000000" w:rsidRPr="00524ED5" w:rsidP="00524ED5">
            <w:pPr>
              <w:pStyle w:val="ListBullet"/>
            </w:pPr>
            <w:r w:rsidRPr="00524ED5">
              <w:t>technical library</w:t>
            </w:r>
          </w:p>
          <w:p w:rsidR="00000000" w:rsidRPr="00524ED5" w:rsidP="00524ED5">
            <w:pPr>
              <w:pStyle w:val="ListBullet"/>
            </w:pPr>
            <w:r w:rsidRPr="00524ED5">
              <w:t>stationery</w:t>
            </w:r>
          </w:p>
          <w:p w:rsidR="00000000" w:rsidRPr="00524ED5" w:rsidP="00524ED5">
            <w:pPr>
              <w:pStyle w:val="ListBullet"/>
            </w:pPr>
            <w:r w:rsidRPr="00524ED5">
              <w:t>scientific calculator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appropriate tools of trade, equipment and materials.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Industry standards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AS 1668.1 The use of ventilation and air conditioning in buildings, Part 1: Fire and smoke control in buildings</w:t>
            </w:r>
          </w:p>
          <w:p w:rsidR="00000000" w:rsidRPr="00524ED5" w:rsidP="00524ED5">
            <w:pPr>
              <w:pStyle w:val="ListBullet"/>
            </w:pPr>
            <w:r w:rsidRPr="00524ED5">
              <w:t>AS 1668.2 The use of ventilation and air conditioning in buil</w:t>
            </w:r>
            <w:r w:rsidRPr="00524ED5">
              <w:t>dings, Part 2: Mechanical ventilation in buildings</w:t>
            </w:r>
          </w:p>
          <w:p w:rsidR="00000000" w:rsidRPr="00524ED5" w:rsidP="00524ED5">
            <w:pPr>
              <w:pStyle w:val="ListBullet"/>
            </w:pPr>
            <w:r w:rsidRPr="00524ED5">
              <w:t>EU Guidelines for Ventilation Requirements in Buildings (European Commission)</w:t>
            </w:r>
          </w:p>
          <w:p w:rsidR="00000000" w:rsidRPr="00524ED5" w:rsidP="00524ED5">
            <w:pPr>
              <w:pStyle w:val="ListBullet"/>
            </w:pPr>
            <w:r w:rsidRPr="00524ED5">
              <w:t>ASHRAE 62-89 ventilation standard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National Construction Code (NCC).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use of tools and equip</w:t>
            </w:r>
            <w:r w:rsidRPr="00524ED5">
              <w:t>ment</w:t>
            </w:r>
          </w:p>
          <w:p w:rsidR="00000000" w:rsidRPr="00524ED5" w:rsidP="00524ED5">
            <w:pPr>
              <w:pStyle w:val="ListBullet"/>
            </w:pPr>
            <w:r w:rsidRPr="00524ED5">
              <w:t>instructions, including job sheets, plans, drawings and designs</w:t>
            </w:r>
          </w:p>
          <w:p w:rsidR="00000000" w:rsidRPr="00524ED5" w:rsidP="00524ED5">
            <w:pPr>
              <w:pStyle w:val="ListBullet"/>
            </w:pPr>
            <w:r w:rsidRPr="00524ED5">
              <w:t>reporting and communication</w:t>
            </w:r>
          </w:p>
          <w:p w:rsidR="00000000" w:rsidRPr="00524ED5" w:rsidP="00524ED5">
            <w:pPr>
              <w:pStyle w:val="ListBullet"/>
            </w:pPr>
            <w:r w:rsidRPr="00524ED5">
              <w:t>manufacturer specifications</w:t>
            </w:r>
          </w:p>
          <w:p w:rsidR="00000000" w:rsidP="00524ED5">
            <w:pPr>
              <w:pStyle w:val="ListBullet"/>
              <w:rPr>
                <w:lang w:val="en-NZ"/>
              </w:rPr>
            </w:pPr>
            <w:r w:rsidRPr="00524ED5">
              <w:t>site operational procedures.</w:t>
            </w:r>
          </w:p>
        </w:tc>
      </w:tr>
      <w:tr w:rsidTr="00524E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D5">
            <w:pPr>
              <w:pStyle w:val="BodyText"/>
              <w:rPr>
                <w:lang w:val="en-NZ"/>
              </w:rPr>
            </w:pPr>
            <w:r w:rsidRPr="00524ED5">
              <w:t>Building performance surveys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D5" w:rsidP="00524ED5">
            <w:pPr>
              <w:pStyle w:val="ListBullet"/>
            </w:pPr>
            <w:r w:rsidRPr="00524ED5">
              <w:t>minimum five zones</w:t>
            </w:r>
          </w:p>
          <w:p w:rsidR="00000000" w:rsidRPr="00524ED5" w:rsidP="00524ED5">
            <w:pPr>
              <w:pStyle w:val="ListBullet"/>
            </w:pPr>
            <w:r w:rsidRPr="00524ED5">
              <w:t>internal and system heat gains</w:t>
            </w:r>
          </w:p>
          <w:p w:rsidR="00000000" w:rsidRPr="00524ED5" w:rsidP="00524ED5">
            <w:pPr>
              <w:pStyle w:val="ListBullet"/>
            </w:pPr>
            <w:r w:rsidRPr="00524ED5">
              <w:t>infiltration and fresh air rates</w:t>
            </w:r>
          </w:p>
          <w:p w:rsidR="00000000" w:rsidRPr="00524ED5" w:rsidP="00524ED5">
            <w:pPr>
              <w:pStyle w:val="ListBullet"/>
            </w:pPr>
            <w:r w:rsidRPr="00524ED5">
              <w:t>heat flow through windows accounting for internal and external shading</w:t>
            </w:r>
          </w:p>
          <w:p w:rsidR="00000000" w:rsidRPr="00524ED5" w:rsidP="00524ED5">
            <w:pPr>
              <w:pStyle w:val="ListBullet"/>
            </w:pPr>
            <w:r w:rsidRPr="00524ED5">
              <w:t>heat flows through building fabric</w:t>
            </w:r>
          </w:p>
          <w:p w:rsidR="00000000" w:rsidRPr="00524ED5" w:rsidP="00524ED5">
            <w:pPr>
              <w:pStyle w:val="ListBullet"/>
            </w:pPr>
            <w:r w:rsidRPr="00524ED5">
              <w:t>use of simulation software.</w:t>
            </w:r>
          </w:p>
        </w:tc>
      </w:tr>
    </w:tbl>
    <w:p w:rsidR="006E1F66" w:rsidP="00524ED5">
      <w:pPr>
        <w:pStyle w:val="BodyText"/>
      </w:pPr>
    </w:p>
    <w:p w:rsidR="006E1F66" w:rsidP="00524ED5">
      <w:pPr>
        <w:pStyle w:val="BodyText"/>
      </w:pPr>
    </w:p>
    <w:p w:rsidR="00000000" w:rsidRPr="00524ED5" w:rsidP="00524ED5">
      <w:pPr>
        <w:pStyle w:val="Heading1"/>
      </w:pPr>
      <w:bookmarkStart w:id="8" w:name="O_944495"/>
      <w:bookmarkEnd w:id="8"/>
      <w:r w:rsidRPr="00524ED5">
        <w:t>Unit Mapping Information</w:t>
      </w:r>
    </w:p>
    <w:p w:rsidR="006E1F66" w:rsidP="006E1F66">
      <w:pPr>
        <w:pStyle w:val="BodyText"/>
      </w:pPr>
      <w:r w:rsidRPr="00524ED5">
        <w:t>Release 1. Supersedes and is equivalent to MEM23141A Complete a building thermal performance survey.</w:t>
      </w:r>
    </w:p>
    <w:p w:rsidR="00000000" w:rsidRPr="00524ED5" w:rsidP="00524ED5">
      <w:pPr>
        <w:pStyle w:val="Heading1"/>
      </w:pPr>
      <w:bookmarkStart w:id="9" w:name="O_944488"/>
      <w:bookmarkEnd w:id="9"/>
      <w:r w:rsidRPr="00524ED5">
        <w:t>Links</w:t>
      </w:r>
    </w:p>
    <w:p w:rsidR="00000000" w:rsidRPr="00524ED5" w:rsidP="006E1F66">
      <w:pPr>
        <w:pStyle w:val="BodyText"/>
      </w:pPr>
      <w:r w:rsidRPr="00524ED5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7B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24ED5" w:rsidP="00524ED5"/>
    <w:sectPr w:rsidSect="00524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D5" w:rsidRPr="006E1F66" w:rsidP="006E1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66" w:rsidP="00524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F66" w:rsidP="00524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1F66" w:rsidP="00524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ED5" w:rsidRPr="006E1F66" w:rsidP="006E1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66" w:rsidRPr="002D2AF8" w:rsidP="00524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MEM23141 Complete a building thermal performance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1F66" w:rsidP="00524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664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E7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ED5"/>
  </w:style>
  <w:style w:type="character" w:customStyle="1" w:styleId="Heading1Char">
    <w:name w:val="Heading 1 Char"/>
    <w:basedOn w:val="DefaultParagraphFont"/>
    <w:link w:val="Heading1"/>
    <w:rsid w:val="00524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E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ED5"/>
    <w:rPr>
      <w:b/>
      <w:spacing w:val="0"/>
    </w:rPr>
  </w:style>
  <w:style w:type="character" w:styleId="Emphasis">
    <w:name w:val="Emphasis"/>
    <w:basedOn w:val="DefaultParagraphFont"/>
    <w:qFormat/>
    <w:rsid w:val="00524ED5"/>
    <w:rPr>
      <w:i/>
    </w:rPr>
  </w:style>
  <w:style w:type="paragraph" w:customStyle="1" w:styleId="SuperHeading">
    <w:name w:val="SuperHeading"/>
    <w:basedOn w:val="Normal"/>
    <w:rsid w:val="00524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E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E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ED5"/>
  </w:style>
  <w:style w:type="paragraph" w:styleId="TableofFigures">
    <w:name w:val="table of figures"/>
    <w:basedOn w:val="Normal"/>
    <w:next w:val="Normal"/>
    <w:semiHidden/>
    <w:rsid w:val="00524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E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ED5"/>
    <w:rPr>
      <w:rFonts w:ascii="Wingdings" w:hAnsi="Wingdings"/>
    </w:rPr>
  </w:style>
  <w:style w:type="paragraph" w:customStyle="1" w:styleId="TableHeading">
    <w:name w:val="Table Heading"/>
    <w:basedOn w:val="HeadingBase"/>
    <w:rsid w:val="00524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ED5"/>
    <w:rPr>
      <w:color w:val="0033CC"/>
      <w:u w:val="none"/>
    </w:rPr>
  </w:style>
  <w:style w:type="paragraph" w:customStyle="1" w:styleId="BodyTextRight">
    <w:name w:val="Body Text Right"/>
    <w:basedOn w:val="BodyText"/>
    <w:rsid w:val="00524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E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ED5"/>
    <w:rPr>
      <w:sz w:val="32"/>
    </w:rPr>
  </w:style>
  <w:style w:type="paragraph" w:customStyle="1" w:styleId="HeadingProcedure">
    <w:name w:val="Heading Procedure"/>
    <w:basedOn w:val="HeadingBase"/>
    <w:next w:val="Normal"/>
    <w:rsid w:val="00524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ED5"/>
    <w:pPr>
      <w:spacing w:before="60" w:after="60"/>
    </w:pPr>
  </w:style>
  <w:style w:type="paragraph" w:styleId="ListContinue">
    <w:name w:val="List Continue"/>
    <w:basedOn w:val="List"/>
    <w:rsid w:val="00524ED5"/>
    <w:pPr>
      <w:ind w:firstLine="0"/>
    </w:pPr>
  </w:style>
  <w:style w:type="paragraph" w:customStyle="1" w:styleId="ListNote">
    <w:name w:val="List Note"/>
    <w:basedOn w:val="List"/>
    <w:rsid w:val="00524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ED5"/>
    <w:rPr>
      <w:rFonts w:ascii="Courier New" w:hAnsi="Courier New"/>
    </w:rPr>
  </w:style>
  <w:style w:type="paragraph" w:customStyle="1" w:styleId="NoteBullet">
    <w:name w:val="Note Bullet"/>
    <w:basedOn w:val="Note"/>
    <w:rsid w:val="00524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E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ED5"/>
    <w:rPr>
      <w:b/>
      <w:smallCaps/>
    </w:rPr>
  </w:style>
  <w:style w:type="paragraph" w:customStyle="1" w:styleId="TableListNumber">
    <w:name w:val="Table List Number"/>
    <w:basedOn w:val="ListNumber"/>
    <w:rsid w:val="00524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ED5"/>
    <w:pPr>
      <w:numPr>
        <w:numId w:val="8"/>
      </w:numPr>
    </w:pPr>
  </w:style>
  <w:style w:type="paragraph" w:customStyle="1" w:styleId="ListAlpha2">
    <w:name w:val="List Alpha 2"/>
    <w:basedOn w:val="List2"/>
    <w:rsid w:val="00524ED5"/>
    <w:pPr>
      <w:numPr>
        <w:numId w:val="7"/>
      </w:numPr>
    </w:pPr>
  </w:style>
  <w:style w:type="paragraph" w:styleId="List2">
    <w:name w:val="List 2"/>
    <w:basedOn w:val="BodyText"/>
    <w:rsid w:val="00524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E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E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ED5"/>
    <w:pPr>
      <w:numPr>
        <w:numId w:val="3"/>
      </w:numPr>
    </w:pPr>
  </w:style>
  <w:style w:type="paragraph" w:styleId="ListContinue2">
    <w:name w:val="List Continue 2"/>
    <w:basedOn w:val="List2"/>
    <w:rsid w:val="00524ED5"/>
    <w:pPr>
      <w:ind w:firstLine="0"/>
    </w:pPr>
  </w:style>
  <w:style w:type="paragraph" w:styleId="ListContinue3">
    <w:name w:val="List Continue 3"/>
    <w:basedOn w:val="List3"/>
    <w:rsid w:val="00524ED5"/>
    <w:pPr>
      <w:ind w:left="1021" w:firstLine="0"/>
    </w:pPr>
  </w:style>
  <w:style w:type="paragraph" w:styleId="ListContinue4">
    <w:name w:val="List Continue 4"/>
    <w:basedOn w:val="List4"/>
    <w:rsid w:val="00524ED5"/>
    <w:pPr>
      <w:ind w:firstLine="0"/>
    </w:pPr>
  </w:style>
  <w:style w:type="paragraph" w:styleId="ListContinue5">
    <w:name w:val="List Continue 5"/>
    <w:basedOn w:val="List5"/>
    <w:rsid w:val="00524ED5"/>
    <w:pPr>
      <w:ind w:firstLine="0"/>
    </w:pPr>
  </w:style>
  <w:style w:type="paragraph" w:styleId="ListNumber3">
    <w:name w:val="List Number 3"/>
    <w:basedOn w:val="List3"/>
    <w:rsid w:val="00524ED5"/>
    <w:pPr>
      <w:numPr>
        <w:numId w:val="4"/>
      </w:numPr>
    </w:pPr>
  </w:style>
  <w:style w:type="paragraph" w:styleId="ListNumber4">
    <w:name w:val="List Number 4"/>
    <w:basedOn w:val="List4"/>
    <w:rsid w:val="00524ED5"/>
    <w:pPr>
      <w:numPr>
        <w:numId w:val="5"/>
      </w:numPr>
    </w:pPr>
  </w:style>
  <w:style w:type="paragraph" w:styleId="ListNumber5">
    <w:name w:val="List Number 5"/>
    <w:basedOn w:val="List5"/>
    <w:rsid w:val="00524ED5"/>
    <w:pPr>
      <w:numPr>
        <w:numId w:val="6"/>
      </w:numPr>
    </w:pPr>
  </w:style>
  <w:style w:type="paragraph" w:styleId="BlockText">
    <w:name w:val="Block Text"/>
    <w:basedOn w:val="Normal"/>
    <w:rsid w:val="00524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ED5"/>
    <w:rPr>
      <w:sz w:val="16"/>
      <w:vertAlign w:val="superscript"/>
    </w:rPr>
  </w:style>
  <w:style w:type="character" w:customStyle="1" w:styleId="Symbols">
    <w:name w:val="Symbols"/>
    <w:basedOn w:val="DefaultParagraphFont"/>
    <w:rsid w:val="00524ED5"/>
    <w:rPr>
      <w:rFonts w:ascii="Symbol" w:hAnsi="Symbol"/>
    </w:rPr>
  </w:style>
  <w:style w:type="character" w:customStyle="1" w:styleId="MenuOptions">
    <w:name w:val="Menu Options"/>
    <w:basedOn w:val="DefaultParagraphFont"/>
    <w:rsid w:val="00524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ED5"/>
    <w:rPr>
      <w:b/>
    </w:rPr>
  </w:style>
  <w:style w:type="character" w:customStyle="1" w:styleId="Underlined">
    <w:name w:val="Underlined"/>
    <w:basedOn w:val="DefaultParagraphFont"/>
    <w:rsid w:val="00524ED5"/>
    <w:rPr>
      <w:u w:val="single"/>
    </w:rPr>
  </w:style>
  <w:style w:type="paragraph" w:customStyle="1" w:styleId="TableBodyTextRight">
    <w:name w:val="Table Body Text Right"/>
    <w:basedOn w:val="TableBodyText"/>
    <w:rsid w:val="00524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ED5"/>
    <w:rPr>
      <w:sz w:val="18"/>
    </w:rPr>
  </w:style>
  <w:style w:type="paragraph" w:customStyle="1" w:styleId="BodySmallRight">
    <w:name w:val="Body Small Right"/>
    <w:basedOn w:val="BodyTextRight"/>
    <w:rsid w:val="00524ED5"/>
    <w:rPr>
      <w:sz w:val="18"/>
      <w:szCs w:val="18"/>
    </w:rPr>
  </w:style>
  <w:style w:type="paragraph" w:customStyle="1" w:styleId="MarginEdition">
    <w:name w:val="Margin Edition"/>
    <w:basedOn w:val="MarginNote"/>
    <w:rsid w:val="00524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ED5"/>
    <w:rPr>
      <w:sz w:val="2"/>
      <w:szCs w:val="2"/>
    </w:rPr>
  </w:style>
  <w:style w:type="character" w:customStyle="1" w:styleId="Small">
    <w:name w:val="Small"/>
    <w:basedOn w:val="DefaultParagraphFont"/>
    <w:rsid w:val="00524ED5"/>
    <w:rPr>
      <w:sz w:val="16"/>
    </w:rPr>
  </w:style>
  <w:style w:type="paragraph" w:customStyle="1" w:styleId="WideTable">
    <w:name w:val="Wide Table"/>
    <w:basedOn w:val="Normal"/>
    <w:rsid w:val="00524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ED5"/>
  </w:style>
  <w:style w:type="paragraph" w:styleId="Quote">
    <w:name w:val="Quote"/>
    <w:basedOn w:val="Heading1"/>
    <w:link w:val="QuoteChar"/>
    <w:qFormat/>
    <w:rsid w:val="00524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ED5"/>
    <w:pPr>
      <w:pageBreakBefore/>
    </w:pPr>
  </w:style>
  <w:style w:type="paragraph" w:customStyle="1" w:styleId="Border">
    <w:name w:val="Border"/>
    <w:basedOn w:val="Normal"/>
    <w:qFormat/>
    <w:rsid w:val="00524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ED5"/>
    <w:rPr>
      <w:u w:val="single"/>
    </w:rPr>
  </w:style>
  <w:style w:type="character" w:customStyle="1" w:styleId="BoldandItalics">
    <w:name w:val="Bold and Italics"/>
    <w:qFormat/>
    <w:rsid w:val="00524ED5"/>
    <w:rPr>
      <w:b/>
      <w:i/>
      <w:u w:val="none"/>
    </w:rPr>
  </w:style>
  <w:style w:type="paragraph" w:styleId="BalloonText">
    <w:name w:val="Balloon Text"/>
    <w:basedOn w:val="Normal"/>
    <w:link w:val="BalloonTextChar"/>
    <w:rsid w:val="00524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ED5"/>
    <w:pPr>
      <w:spacing w:before="0" w:after="0"/>
    </w:pPr>
  </w:style>
  <w:style w:type="paragraph" w:customStyle="1" w:styleId="BodyTextBold">
    <w:name w:val="Body Text Bold"/>
    <w:basedOn w:val="BodyText"/>
    <w:qFormat/>
    <w:rsid w:val="00524ED5"/>
    <w:rPr>
      <w:b/>
    </w:rPr>
  </w:style>
  <w:style w:type="character" w:styleId="Hyperlink">
    <w:name w:val="Hyperlink"/>
    <w:basedOn w:val="DefaultParagraphFont"/>
    <w:uiPriority w:val="99"/>
    <w:unhideWhenUsed/>
    <w:rsid w:val="006E1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5676</Characters>
  <Application>Microsoft Office Word</Application>
  <DocSecurity>0</DocSecurity>
  <Lines>177</Lines>
  <Paragraphs>125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MEM23141 Complete a building thermal performance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