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2C2" w:rsidP="00D56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MEM23141 Complete a building thermal performance survey</w:t>
      </w:r>
      <w:r>
        <w:fldChar w:fldCharType="end"/>
      </w:r>
    </w:p>
    <w:p w:rsidR="00D562C2" w:rsidP="00D562C2">
      <w:pPr>
        <w:pStyle w:val="Version"/>
        <w:sectPr w:rsidSect="00B50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0BD" w:rsidP="00B500BD">
      <w:pPr>
        <w:pStyle w:val="SuperHeading"/>
      </w:pPr>
      <w:r w:rsidRPr="00B500BD">
        <w:t>Assessment Requirements for MEM23141 Complete a building thermal performance survey</w:t>
      </w:r>
    </w:p>
    <w:p w:rsidR="00000000" w:rsidRPr="00B500BD" w:rsidP="00B500BD">
      <w:pPr>
        <w:pStyle w:val="Heading1"/>
      </w:pPr>
      <w:bookmarkStart w:id="1" w:name="O_944490"/>
      <w:bookmarkEnd w:id="1"/>
      <w:r w:rsidRPr="00B500BD">
        <w:t>Modification History</w:t>
      </w:r>
    </w:p>
    <w:p w:rsidR="00D562C2" w:rsidP="00D562C2">
      <w:pPr>
        <w:pStyle w:val="BodyText"/>
      </w:pPr>
      <w:r w:rsidRPr="00B500BD">
        <w:t>Release 1. Supersedes and is equivalent to MEM23141A Complete a building thermal performance survey.</w:t>
      </w:r>
    </w:p>
    <w:p w:rsidR="00000000" w:rsidRPr="00B500BD" w:rsidP="00B500BD">
      <w:pPr>
        <w:pStyle w:val="Heading1"/>
      </w:pPr>
      <w:bookmarkStart w:id="2" w:name="O_944493"/>
      <w:bookmarkEnd w:id="2"/>
      <w:r w:rsidRPr="00B500BD">
        <w:t>Performance Evidence</w:t>
      </w:r>
    </w:p>
    <w:p w:rsidR="00000000" w:rsidRPr="00B500BD" w:rsidP="00D562C2">
      <w:pPr>
        <w:pStyle w:val="BodyText"/>
      </w:pPr>
      <w:r w:rsidRPr="00B500BD">
        <w:t>Evidence required to demonstrate competence in this unit must be relevant to and satisfy the requirements of the elements and performance criteria and include:</w:t>
      </w:r>
    </w:p>
    <w:p w:rsidR="00000000" w:rsidRPr="00B500BD" w:rsidP="00B500BD">
      <w:pPr>
        <w:pStyle w:val="ListBullet"/>
      </w:pPr>
      <w:r w:rsidRPr="00B500BD">
        <w:t>sourcing appropriate drawings, documentation and specifications for buildi</w:t>
      </w:r>
      <w:r w:rsidRPr="00B500BD">
        <w:t>ngs</w:t>
      </w:r>
    </w:p>
    <w:p w:rsidR="00000000" w:rsidRPr="00B500BD" w:rsidP="00B500BD">
      <w:pPr>
        <w:pStyle w:val="ListBullet"/>
      </w:pPr>
      <w:r w:rsidRPr="00B500BD">
        <w:t>interpreting building design information for sources of heat gains</w:t>
      </w:r>
    </w:p>
    <w:p w:rsidR="00000000" w:rsidRPr="00B500BD" w:rsidP="00B500BD">
      <w:pPr>
        <w:pStyle w:val="ListBullet"/>
      </w:pPr>
      <w:r w:rsidRPr="00B500BD">
        <w:t>implementing work health and safety (WHS) procedures and practices including the use of risk control measures</w:t>
      </w:r>
    </w:p>
    <w:p w:rsidR="00000000" w:rsidRPr="00B500BD" w:rsidP="00B500BD">
      <w:pPr>
        <w:pStyle w:val="ListBullet"/>
      </w:pPr>
      <w:r w:rsidRPr="00B500BD">
        <w:t>completing a building thermal performance survey including using industry s</w:t>
      </w:r>
      <w:r w:rsidRPr="00B500BD">
        <w:t>tandards and in accordance with organisational procedures</w:t>
      </w:r>
    </w:p>
    <w:p w:rsidR="00000000" w:rsidRPr="00B500BD" w:rsidP="00B500BD">
      <w:pPr>
        <w:pStyle w:val="ListBullet"/>
      </w:pPr>
      <w:r w:rsidRPr="00B500BD">
        <w:t>demonstrating competency within a timeframe typically expected of the discipline, work function and industrial environment</w:t>
      </w:r>
    </w:p>
    <w:p w:rsidR="00000000" w:rsidRPr="00B500BD" w:rsidP="00B500BD">
      <w:pPr>
        <w:pStyle w:val="ListBullet"/>
      </w:pPr>
      <w:r w:rsidRPr="00B500BD">
        <w:t>carrying out a building survey and load estimate for a multiple zone commer</w:t>
      </w:r>
      <w:r w:rsidRPr="00B500BD">
        <w:t>cial building on at least two occasions</w:t>
      </w:r>
    </w:p>
    <w:p w:rsidR="00000000" w:rsidRPr="00B500BD" w:rsidP="00B500BD">
      <w:pPr>
        <w:pStyle w:val="ListBullet"/>
      </w:pPr>
      <w:r w:rsidRPr="00B500BD">
        <w:t>completing a building thermal performance survey for different buildings on at least two occasions</w:t>
      </w:r>
    </w:p>
    <w:p w:rsidR="00000000" w:rsidRPr="00B500BD" w:rsidP="00B500BD">
      <w:pPr>
        <w:pStyle w:val="ListBullet"/>
      </w:pPr>
      <w:r w:rsidRPr="00B500BD">
        <w:t>communicating technical and procedural requirements to others</w:t>
      </w:r>
    </w:p>
    <w:p w:rsidR="00000000" w:rsidRPr="00B500BD" w:rsidP="00B500BD">
      <w:pPr>
        <w:pStyle w:val="ListBullet"/>
      </w:pPr>
      <w:r w:rsidRPr="00B500BD">
        <w:t>dealing with unexpected situations.</w:t>
      </w:r>
    </w:p>
    <w:p w:rsidR="00D562C2" w:rsidP="00D562C2">
      <w:pPr>
        <w:pStyle w:val="BodyText"/>
      </w:pPr>
      <w:r w:rsidRPr="00B500BD">
        <w:t>Note: Where a volum</w:t>
      </w:r>
      <w:r w:rsidRPr="00B500BD">
        <w:t>e and/or frequency is not specified, demonstration must be provided at least once.</w:t>
      </w:r>
    </w:p>
    <w:p w:rsidR="00000000" w:rsidRPr="00B500BD" w:rsidP="00B500BD">
      <w:pPr>
        <w:pStyle w:val="Heading1"/>
      </w:pPr>
      <w:bookmarkStart w:id="3" w:name="O_944492"/>
      <w:bookmarkEnd w:id="3"/>
      <w:r w:rsidRPr="00B500BD">
        <w:t>Knowledge Evidence</w:t>
      </w:r>
    </w:p>
    <w:p w:rsidR="00000000" w:rsidRPr="00B500BD" w:rsidP="00D562C2">
      <w:pPr>
        <w:pStyle w:val="BodyText"/>
      </w:pPr>
      <w:r w:rsidRPr="00B500BD">
        <w:t>Evidence required to demonstrate the required knowledge for this unit must be relevant to and satisfy the requirements of the elements a</w:t>
      </w:r>
      <w:r w:rsidRPr="00B500BD">
        <w:t>nd performance criteria and include knowledge of:</w:t>
      </w:r>
    </w:p>
    <w:p w:rsidR="00000000" w:rsidRPr="00B500BD" w:rsidP="00B500BD">
      <w:pPr>
        <w:pStyle w:val="ListBullet"/>
      </w:pPr>
      <w:r w:rsidRPr="00B500BD">
        <w:t>WHS requirements</w:t>
      </w:r>
    </w:p>
    <w:p w:rsidR="00000000" w:rsidRPr="00B500BD" w:rsidP="00B500BD">
      <w:pPr>
        <w:pStyle w:val="ListBullet"/>
      </w:pPr>
      <w:r w:rsidRPr="00B500BD">
        <w:t>personnel to consult</w:t>
      </w:r>
    </w:p>
    <w:p w:rsidR="00000000" w:rsidRPr="00B500BD" w:rsidP="00B500BD">
      <w:pPr>
        <w:pStyle w:val="ListBullet"/>
      </w:pPr>
      <w:r w:rsidRPr="00B500BD">
        <w:t>heat gains in buildings</w:t>
      </w:r>
    </w:p>
    <w:p w:rsidR="00000000" w:rsidRPr="00B500BD" w:rsidP="00B500BD">
      <w:pPr>
        <w:pStyle w:val="ListBullet"/>
      </w:pPr>
      <w:r w:rsidRPr="00B500BD">
        <w:t>heat transfer theory</w:t>
      </w:r>
    </w:p>
    <w:p w:rsidR="00000000" w:rsidRPr="00B500BD" w:rsidP="00B500BD">
      <w:pPr>
        <w:pStyle w:val="ListBullet"/>
      </w:pPr>
      <w:r w:rsidRPr="00B500BD">
        <w:t>thermal properties of building materials including materials designed to promote thermal conductivity or insulation</w:t>
      </w:r>
    </w:p>
    <w:p w:rsidR="00000000" w:rsidRPr="00B500BD" w:rsidP="00B500BD">
      <w:pPr>
        <w:pStyle w:val="ListBullet"/>
      </w:pPr>
      <w:r w:rsidRPr="00B500BD">
        <w:t>heat transfer in buildings including effects of:</w:t>
      </w:r>
    </w:p>
    <w:p w:rsidR="00000000" w:rsidRPr="00B500BD" w:rsidP="00B500BD">
      <w:pPr>
        <w:pStyle w:val="ListBullet2"/>
      </w:pPr>
      <w:r w:rsidRPr="00B500BD">
        <w:t>ambient conditions</w:t>
      </w:r>
    </w:p>
    <w:p w:rsidR="00000000" w:rsidRPr="00B500BD" w:rsidP="00B500BD">
      <w:pPr>
        <w:pStyle w:val="ListBullet2"/>
      </w:pPr>
      <w:r w:rsidRPr="00B500BD">
        <w:t>materials and equipment</w:t>
      </w:r>
    </w:p>
    <w:p w:rsidR="00000000" w:rsidRPr="00B500BD" w:rsidP="00B500BD">
      <w:pPr>
        <w:pStyle w:val="ListBullet2"/>
      </w:pPr>
      <w:r w:rsidRPr="00B500BD">
        <w:t>windows and films</w:t>
      </w:r>
    </w:p>
    <w:p w:rsidR="00000000" w:rsidRPr="00B500BD" w:rsidP="00B500BD">
      <w:pPr>
        <w:pStyle w:val="ListBullet2"/>
      </w:pPr>
      <w:r w:rsidRPr="00B500BD">
        <w:t>design effects including external design, room and door design, and sun position calculations</w:t>
      </w:r>
    </w:p>
    <w:p w:rsidR="00000000" w:rsidRPr="00B500BD" w:rsidP="00B500BD">
      <w:pPr>
        <w:pStyle w:val="ListBullet"/>
      </w:pPr>
      <w:r w:rsidRPr="00B500BD">
        <w:t>building heat flow, losses and gains including:</w:t>
      </w:r>
    </w:p>
    <w:p w:rsidR="00000000" w:rsidRPr="00B500BD" w:rsidP="00B500BD">
      <w:pPr>
        <w:pStyle w:val="ListBullet2"/>
      </w:pPr>
      <w:r w:rsidRPr="00B500BD">
        <w:t>c</w:t>
      </w:r>
      <w:r w:rsidRPr="00B500BD">
        <w:t>onvection</w:t>
      </w:r>
    </w:p>
    <w:p w:rsidR="00000000" w:rsidRPr="00B500BD" w:rsidP="00B500BD">
      <w:pPr>
        <w:pStyle w:val="ListBullet2"/>
      </w:pPr>
      <w:r w:rsidRPr="00B500BD">
        <w:t>radiation</w:t>
      </w:r>
    </w:p>
    <w:p w:rsidR="00000000" w:rsidRPr="00B500BD" w:rsidP="00B500BD">
      <w:pPr>
        <w:pStyle w:val="ListBullet2"/>
      </w:pPr>
      <w:r w:rsidRPr="00B500BD">
        <w:t>conduction</w:t>
      </w:r>
    </w:p>
    <w:p w:rsidR="00000000" w:rsidRPr="00B500BD" w:rsidP="00B500BD">
      <w:pPr>
        <w:pStyle w:val="ListBullet2"/>
      </w:pPr>
      <w:r w:rsidRPr="00B500BD">
        <w:t>heat paths</w:t>
      </w:r>
    </w:p>
    <w:p w:rsidR="00000000" w:rsidRPr="00B500BD" w:rsidP="00B500BD">
      <w:pPr>
        <w:pStyle w:val="ListBullet"/>
      </w:pPr>
      <w:r w:rsidRPr="00B500BD">
        <w:t>building heat loss and gain calculations</w:t>
      </w:r>
    </w:p>
    <w:p w:rsidR="00000000" w:rsidRPr="00B500BD" w:rsidP="00B500BD">
      <w:pPr>
        <w:pStyle w:val="ListBullet"/>
      </w:pPr>
      <w:r w:rsidRPr="00B500BD">
        <w:t>thermal properties of buildings including losses</w:t>
      </w:r>
    </w:p>
    <w:p w:rsidR="00000000" w:rsidRPr="00B500BD" w:rsidP="00B500BD">
      <w:pPr>
        <w:pStyle w:val="ListBullet"/>
      </w:pPr>
      <w:r w:rsidRPr="00B500BD">
        <w:t>people loads</w:t>
      </w:r>
    </w:p>
    <w:p w:rsidR="00000000" w:rsidRPr="00B500BD" w:rsidP="00B500BD">
      <w:pPr>
        <w:pStyle w:val="ListBullet"/>
      </w:pPr>
      <w:r w:rsidRPr="00B500BD">
        <w:t>cost implications of air conditioning and heating designs</w:t>
      </w:r>
    </w:p>
    <w:p w:rsidR="00000000" w:rsidRPr="00B500BD" w:rsidP="00B500BD">
      <w:pPr>
        <w:pStyle w:val="ListBullet"/>
      </w:pPr>
      <w:r w:rsidRPr="00B500BD">
        <w:t>heat</w:t>
      </w:r>
      <w:r w:rsidRPr="00B500BD">
        <w:t xml:space="preserve"> loads calculations including lighting and equipment</w:t>
      </w:r>
    </w:p>
    <w:p w:rsidR="00000000" w:rsidRPr="00B500BD" w:rsidP="00B500BD">
      <w:pPr>
        <w:pStyle w:val="ListBullet"/>
      </w:pPr>
      <w:r w:rsidRPr="00B500BD">
        <w:t>thermal lag</w:t>
      </w:r>
    </w:p>
    <w:p w:rsidR="00000000" w:rsidRPr="00B500BD" w:rsidP="00B500BD">
      <w:pPr>
        <w:pStyle w:val="ListBullet"/>
      </w:pPr>
      <w:r w:rsidRPr="00B500BD">
        <w:t>environmental considerations</w:t>
      </w:r>
    </w:p>
    <w:p w:rsidR="00000000" w:rsidRPr="00B500BD" w:rsidP="00B500BD">
      <w:pPr>
        <w:pStyle w:val="ListBullet"/>
      </w:pPr>
      <w:r w:rsidRPr="00B500BD">
        <w:t>resource and equipment requirements</w:t>
      </w:r>
    </w:p>
    <w:p w:rsidR="00000000" w:rsidRPr="00B500BD" w:rsidP="00B500BD">
      <w:pPr>
        <w:pStyle w:val="ListBullet"/>
      </w:pPr>
      <w:r w:rsidRPr="00B500BD">
        <w:t>relevant legislation and codes of practice</w:t>
      </w:r>
    </w:p>
    <w:p w:rsidR="00000000" w:rsidRPr="00B500BD" w:rsidP="00B500BD">
      <w:pPr>
        <w:pStyle w:val="ListBullet"/>
      </w:pPr>
      <w:r w:rsidRPr="00B500BD">
        <w:t>industry standards</w:t>
      </w:r>
    </w:p>
    <w:p w:rsidR="00000000" w:rsidRPr="00B500BD" w:rsidP="00B500BD">
      <w:pPr>
        <w:pStyle w:val="ListBullet"/>
      </w:pPr>
      <w:r w:rsidRPr="00B500BD">
        <w:t>organisational procedures</w:t>
      </w:r>
    </w:p>
    <w:p w:rsidR="00D562C2" w:rsidP="00B500BD">
      <w:pPr>
        <w:pStyle w:val="ListBullet"/>
      </w:pPr>
      <w:r w:rsidRPr="00B500BD">
        <w:t>energy efficiency and sustainability.</w:t>
      </w:r>
    </w:p>
    <w:p w:rsidR="00D562C2" w:rsidP="00B500BD">
      <w:pPr>
        <w:pStyle w:val="ListBullet"/>
      </w:pPr>
    </w:p>
    <w:p w:rsidR="00000000" w:rsidRPr="00B500BD" w:rsidP="00B500BD">
      <w:pPr>
        <w:pStyle w:val="Heading1"/>
      </w:pPr>
      <w:bookmarkStart w:id="4" w:name="O_944491"/>
      <w:bookmarkEnd w:id="4"/>
      <w:r w:rsidRPr="00B500BD">
        <w:t>Assessment Conditions</w:t>
      </w:r>
    </w:p>
    <w:p w:rsidR="00000000" w:rsidRPr="00B500BD" w:rsidP="00B500BD">
      <w:pPr>
        <w:pStyle w:val="ListBullet"/>
      </w:pPr>
      <w:r w:rsidRPr="00B500BD">
        <w:t>Assessors must:</w:t>
      </w:r>
    </w:p>
    <w:p w:rsidR="00000000" w:rsidRPr="00B500BD" w:rsidP="00B500BD">
      <w:pPr>
        <w:pStyle w:val="ListBullet2"/>
      </w:pPr>
      <w:r w:rsidRPr="00B500BD">
        <w:t>have vocational competency in completing a building thermal performance survey at least to the level being assessed with relevant industry knowledge and experience</w:t>
      </w:r>
    </w:p>
    <w:p w:rsidR="00000000" w:rsidRPr="00B500BD" w:rsidP="00B500BD">
      <w:pPr>
        <w:pStyle w:val="ListBullet2"/>
      </w:pPr>
      <w:r w:rsidRPr="00B500BD">
        <w:t xml:space="preserve">satisfy the assessor requirements in the </w:t>
      </w:r>
      <w:r w:rsidRPr="00B500BD">
        <w:rPr>
          <w:rStyle w:val="Emphasis"/>
        </w:rPr>
        <w:t xml:space="preserve">Standards for Registered Training Organisations 2015 or its replacement </w:t>
      </w:r>
      <w:r w:rsidRPr="00B500BD">
        <w:t xml:space="preserve">and comply with the </w:t>
      </w:r>
      <w:r w:rsidRPr="00B500BD">
        <w:rPr>
          <w:rStyle w:val="Emphasis"/>
        </w:rPr>
        <w:t xml:space="preserve">National Vocational Education and Training Regulator Act 2011, </w:t>
      </w:r>
      <w:r w:rsidRPr="00B500BD">
        <w:t>its replacement</w:t>
      </w:r>
      <w:r w:rsidRPr="00B500BD">
        <w:rPr>
          <w:rStyle w:val="Emphasis"/>
        </w:rPr>
        <w:t xml:space="preserve"> </w:t>
      </w:r>
      <w:r w:rsidRPr="00B500BD">
        <w:t>or equivalent legislation covering VET regul</w:t>
      </w:r>
      <w:r w:rsidRPr="00B500BD">
        <w:t>ation in a non-referring state/territory as the case requires.</w:t>
      </w:r>
    </w:p>
    <w:p w:rsidR="00000000" w:rsidRPr="00B500BD" w:rsidP="00B500BD">
      <w:pPr>
        <w:pStyle w:val="ListBullet"/>
      </w:pPr>
      <w:r w:rsidRPr="00B500BD">
        <w:t>Where possible assessment must occur in operational workplace situations. Where this is not possible or where personal safety or environmental damage are limiting factors, assessment must occu</w:t>
      </w:r>
      <w:r w:rsidRPr="00B500BD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B500BD">
        <w:t>ole environment skills.</w:t>
      </w:r>
    </w:p>
    <w:p w:rsidR="00000000" w:rsidRPr="00B500BD" w:rsidP="00B500BD">
      <w:pPr>
        <w:pStyle w:val="ListBullet"/>
      </w:pPr>
      <w:r w:rsidRPr="00B500BD">
        <w:t>Conditions for assessment must include access to all tools, equipment, materials and documentation required including relevant workplace procedures, product and manufacturing specifications.</w:t>
      </w:r>
    </w:p>
    <w:p w:rsidR="00D562C2" w:rsidP="00B500BD">
      <w:pPr>
        <w:pStyle w:val="ListBullet"/>
      </w:pPr>
      <w:r w:rsidRPr="00B500BD">
        <w:t xml:space="preserve">Assessment processes and techniques must </w:t>
      </w:r>
      <w:r w:rsidRPr="00B500BD">
        <w:t>be appropriate to the language, literacy and numeracy requirements of the work being performed and the needs of the candidate.</w:t>
      </w:r>
    </w:p>
    <w:p w:rsidR="00D562C2" w:rsidP="00B500BD">
      <w:pPr>
        <w:pStyle w:val="ListBullet"/>
      </w:pPr>
    </w:p>
    <w:p w:rsidR="00000000" w:rsidRPr="00B500BD" w:rsidP="00B500BD">
      <w:pPr>
        <w:pStyle w:val="Heading1"/>
      </w:pPr>
      <w:bookmarkStart w:id="5" w:name="O_944489"/>
      <w:bookmarkEnd w:id="5"/>
      <w:r w:rsidRPr="00B500BD">
        <w:t>Links</w:t>
      </w:r>
    </w:p>
    <w:p w:rsidR="00000000" w:rsidRPr="00B500BD" w:rsidP="00D562C2">
      <w:pPr>
        <w:pStyle w:val="BodyText"/>
      </w:pPr>
      <w:r w:rsidRPr="00B500B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22C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00BD" w:rsidP="00B500BD"/>
    <w:sectPr w:rsidSect="00B50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BD" w:rsidRPr="00D562C2" w:rsidP="00D56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C2" w:rsidP="00B50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2C2" w:rsidP="00B50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62C2" w:rsidP="00B50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0BD" w:rsidRPr="00D562C2" w:rsidP="00D56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C2" w:rsidRPr="002D2AF8" w:rsidP="00B50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MEM23141 Complete a building thermal performance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62C2" w:rsidP="00B50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E4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203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0C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0BD"/>
  </w:style>
  <w:style w:type="character" w:customStyle="1" w:styleId="Heading1Char">
    <w:name w:val="Heading 1 Char"/>
    <w:basedOn w:val="DefaultParagraphFont"/>
    <w:link w:val="Heading1"/>
    <w:rsid w:val="00B50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0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00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0BD"/>
    <w:rPr>
      <w:i/>
    </w:rPr>
  </w:style>
  <w:style w:type="paragraph" w:customStyle="1" w:styleId="SuperHeading">
    <w:name w:val="SuperHeading"/>
    <w:basedOn w:val="Normal"/>
    <w:rsid w:val="00B50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0BD"/>
    <w:rPr>
      <w:b/>
      <w:spacing w:val="0"/>
    </w:rPr>
  </w:style>
  <w:style w:type="paragraph" w:customStyle="1" w:styleId="SuperTitle">
    <w:name w:val="SuperTitle"/>
    <w:basedOn w:val="Title"/>
    <w:rsid w:val="00B50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0BD"/>
  </w:style>
  <w:style w:type="paragraph" w:styleId="TableofFigures">
    <w:name w:val="table of figures"/>
    <w:basedOn w:val="Normal"/>
    <w:next w:val="Normal"/>
    <w:semiHidden/>
    <w:rsid w:val="00B50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0BD"/>
    <w:rPr>
      <w:rFonts w:ascii="Wingdings" w:hAnsi="Wingdings"/>
    </w:rPr>
  </w:style>
  <w:style w:type="paragraph" w:customStyle="1" w:styleId="TableHeading">
    <w:name w:val="Table Heading"/>
    <w:basedOn w:val="HeadingBase"/>
    <w:rsid w:val="00B50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0BD"/>
    <w:rPr>
      <w:color w:val="0033CC"/>
      <w:u w:val="none"/>
    </w:rPr>
  </w:style>
  <w:style w:type="paragraph" w:customStyle="1" w:styleId="BodyTextRight">
    <w:name w:val="Body Text Right"/>
    <w:basedOn w:val="BodyText"/>
    <w:rsid w:val="00B50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0BD"/>
    <w:rPr>
      <w:sz w:val="32"/>
    </w:rPr>
  </w:style>
  <w:style w:type="paragraph" w:customStyle="1" w:styleId="HeadingProcedure">
    <w:name w:val="Heading Procedure"/>
    <w:basedOn w:val="HeadingBase"/>
    <w:next w:val="Normal"/>
    <w:rsid w:val="00B50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0BD"/>
    <w:pPr>
      <w:spacing w:before="60" w:after="60"/>
    </w:pPr>
  </w:style>
  <w:style w:type="paragraph" w:styleId="ListContinue">
    <w:name w:val="List Continue"/>
    <w:basedOn w:val="List"/>
    <w:rsid w:val="00B500BD"/>
    <w:pPr>
      <w:ind w:firstLine="0"/>
    </w:pPr>
  </w:style>
  <w:style w:type="paragraph" w:customStyle="1" w:styleId="ListNote">
    <w:name w:val="List Note"/>
    <w:basedOn w:val="List"/>
    <w:rsid w:val="00B50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0BD"/>
    <w:rPr>
      <w:rFonts w:ascii="Courier New" w:hAnsi="Courier New"/>
    </w:rPr>
  </w:style>
  <w:style w:type="paragraph" w:customStyle="1" w:styleId="NoteBullet">
    <w:name w:val="Note Bullet"/>
    <w:basedOn w:val="Note"/>
    <w:rsid w:val="00B50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0BD"/>
    <w:rPr>
      <w:b/>
      <w:smallCaps/>
    </w:rPr>
  </w:style>
  <w:style w:type="paragraph" w:customStyle="1" w:styleId="TableListNumber">
    <w:name w:val="Table List Number"/>
    <w:basedOn w:val="ListNumber"/>
    <w:rsid w:val="00B50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0BD"/>
    <w:pPr>
      <w:numPr>
        <w:numId w:val="9"/>
      </w:numPr>
    </w:pPr>
  </w:style>
  <w:style w:type="paragraph" w:customStyle="1" w:styleId="ListAlpha2">
    <w:name w:val="List Alpha 2"/>
    <w:basedOn w:val="List2"/>
    <w:rsid w:val="00B500BD"/>
    <w:pPr>
      <w:numPr>
        <w:numId w:val="8"/>
      </w:numPr>
    </w:pPr>
  </w:style>
  <w:style w:type="paragraph" w:styleId="List2">
    <w:name w:val="List 2"/>
    <w:basedOn w:val="BodyText"/>
    <w:rsid w:val="00B50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0BD"/>
    <w:pPr>
      <w:numPr>
        <w:numId w:val="4"/>
      </w:numPr>
    </w:pPr>
  </w:style>
  <w:style w:type="paragraph" w:styleId="ListContinue2">
    <w:name w:val="List Continue 2"/>
    <w:basedOn w:val="List2"/>
    <w:rsid w:val="00B500BD"/>
    <w:pPr>
      <w:ind w:firstLine="0"/>
    </w:pPr>
  </w:style>
  <w:style w:type="paragraph" w:styleId="ListContinue3">
    <w:name w:val="List Continue 3"/>
    <w:basedOn w:val="List3"/>
    <w:rsid w:val="00B500BD"/>
    <w:pPr>
      <w:ind w:left="1021" w:firstLine="0"/>
    </w:pPr>
  </w:style>
  <w:style w:type="paragraph" w:styleId="ListContinue4">
    <w:name w:val="List Continue 4"/>
    <w:basedOn w:val="List4"/>
    <w:rsid w:val="00B500BD"/>
    <w:pPr>
      <w:ind w:firstLine="0"/>
    </w:pPr>
  </w:style>
  <w:style w:type="paragraph" w:styleId="ListContinue5">
    <w:name w:val="List Continue 5"/>
    <w:basedOn w:val="List5"/>
    <w:rsid w:val="00B500BD"/>
    <w:pPr>
      <w:ind w:firstLine="0"/>
    </w:pPr>
  </w:style>
  <w:style w:type="paragraph" w:styleId="ListNumber3">
    <w:name w:val="List Number 3"/>
    <w:basedOn w:val="List3"/>
    <w:rsid w:val="00B500BD"/>
    <w:pPr>
      <w:numPr>
        <w:numId w:val="5"/>
      </w:numPr>
    </w:pPr>
  </w:style>
  <w:style w:type="paragraph" w:styleId="ListNumber4">
    <w:name w:val="List Number 4"/>
    <w:basedOn w:val="List4"/>
    <w:rsid w:val="00B500BD"/>
    <w:pPr>
      <w:numPr>
        <w:numId w:val="6"/>
      </w:numPr>
    </w:pPr>
  </w:style>
  <w:style w:type="paragraph" w:styleId="ListNumber5">
    <w:name w:val="List Number 5"/>
    <w:basedOn w:val="List5"/>
    <w:rsid w:val="00B500BD"/>
    <w:pPr>
      <w:numPr>
        <w:numId w:val="7"/>
      </w:numPr>
    </w:pPr>
  </w:style>
  <w:style w:type="paragraph" w:styleId="BlockText">
    <w:name w:val="Block Text"/>
    <w:basedOn w:val="Normal"/>
    <w:rsid w:val="00B50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0BD"/>
    <w:rPr>
      <w:sz w:val="16"/>
      <w:vertAlign w:val="superscript"/>
    </w:rPr>
  </w:style>
  <w:style w:type="character" w:customStyle="1" w:styleId="Symbols">
    <w:name w:val="Symbols"/>
    <w:basedOn w:val="DefaultParagraphFont"/>
    <w:rsid w:val="00B500BD"/>
    <w:rPr>
      <w:rFonts w:ascii="Symbol" w:hAnsi="Symbol"/>
    </w:rPr>
  </w:style>
  <w:style w:type="character" w:customStyle="1" w:styleId="MenuOptions">
    <w:name w:val="Menu Options"/>
    <w:basedOn w:val="DefaultParagraphFont"/>
    <w:rsid w:val="00B50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0BD"/>
    <w:rPr>
      <w:b/>
    </w:rPr>
  </w:style>
  <w:style w:type="character" w:customStyle="1" w:styleId="Underlined">
    <w:name w:val="Underlined"/>
    <w:basedOn w:val="DefaultParagraphFont"/>
    <w:rsid w:val="00B500BD"/>
    <w:rPr>
      <w:u w:val="single"/>
    </w:rPr>
  </w:style>
  <w:style w:type="paragraph" w:customStyle="1" w:styleId="TableBodyTextRight">
    <w:name w:val="Table Body Text Right"/>
    <w:basedOn w:val="TableBodyText"/>
    <w:rsid w:val="00B50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0BD"/>
    <w:rPr>
      <w:sz w:val="18"/>
    </w:rPr>
  </w:style>
  <w:style w:type="paragraph" w:customStyle="1" w:styleId="BodySmallRight">
    <w:name w:val="Body Small Right"/>
    <w:basedOn w:val="BodyTextRight"/>
    <w:rsid w:val="00B500BD"/>
    <w:rPr>
      <w:sz w:val="18"/>
      <w:szCs w:val="18"/>
    </w:rPr>
  </w:style>
  <w:style w:type="paragraph" w:customStyle="1" w:styleId="MarginEdition">
    <w:name w:val="Margin Edition"/>
    <w:basedOn w:val="MarginNote"/>
    <w:rsid w:val="00B50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0BD"/>
    <w:rPr>
      <w:sz w:val="2"/>
      <w:szCs w:val="2"/>
    </w:rPr>
  </w:style>
  <w:style w:type="character" w:customStyle="1" w:styleId="Small">
    <w:name w:val="Small"/>
    <w:basedOn w:val="DefaultParagraphFont"/>
    <w:rsid w:val="00B500BD"/>
    <w:rPr>
      <w:sz w:val="16"/>
    </w:rPr>
  </w:style>
  <w:style w:type="paragraph" w:customStyle="1" w:styleId="WideTable">
    <w:name w:val="Wide Table"/>
    <w:basedOn w:val="Normal"/>
    <w:rsid w:val="00B50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0BD"/>
  </w:style>
  <w:style w:type="paragraph" w:styleId="Quote">
    <w:name w:val="Quote"/>
    <w:basedOn w:val="Heading1"/>
    <w:link w:val="QuoteChar"/>
    <w:qFormat/>
    <w:rsid w:val="00B50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0BD"/>
    <w:pPr>
      <w:pageBreakBefore/>
    </w:pPr>
  </w:style>
  <w:style w:type="paragraph" w:customStyle="1" w:styleId="Border">
    <w:name w:val="Border"/>
    <w:basedOn w:val="Normal"/>
    <w:qFormat/>
    <w:rsid w:val="00B50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0BD"/>
    <w:rPr>
      <w:u w:val="single"/>
    </w:rPr>
  </w:style>
  <w:style w:type="character" w:customStyle="1" w:styleId="BoldandItalics">
    <w:name w:val="Bold and Italics"/>
    <w:qFormat/>
    <w:rsid w:val="00B500BD"/>
    <w:rPr>
      <w:b/>
      <w:i/>
      <w:u w:val="none"/>
    </w:rPr>
  </w:style>
  <w:style w:type="paragraph" w:styleId="BalloonText">
    <w:name w:val="Balloon Text"/>
    <w:basedOn w:val="Normal"/>
    <w:link w:val="BalloonTextChar"/>
    <w:rsid w:val="00B5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0BD"/>
    <w:pPr>
      <w:spacing w:before="0" w:after="0"/>
    </w:pPr>
  </w:style>
  <w:style w:type="paragraph" w:customStyle="1" w:styleId="BodyTextBold">
    <w:name w:val="Body Text Bold"/>
    <w:basedOn w:val="BodyText"/>
    <w:qFormat/>
    <w:rsid w:val="00B500BD"/>
    <w:rPr>
      <w:b/>
    </w:rPr>
  </w:style>
  <w:style w:type="character" w:styleId="Hyperlink">
    <w:name w:val="Hyperlink"/>
    <w:basedOn w:val="DefaultParagraphFont"/>
    <w:uiPriority w:val="99"/>
    <w:unhideWhenUsed/>
    <w:rsid w:val="00D56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3668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MEM23141 Complete a building thermal performance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