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6769" w:rsidP="005E67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MEM23138 Evaluate suitability of materials for engineering-related applications</w:t>
      </w:r>
      <w:r>
        <w:fldChar w:fldCharType="end"/>
      </w:r>
    </w:p>
    <w:p w:rsidR="005E6769" w:rsidP="005E6769">
      <w:pPr>
        <w:pStyle w:val="Version"/>
        <w:sectPr w:rsidSect="00F87D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DD1" w:rsidP="00F87DD1">
      <w:pPr>
        <w:pStyle w:val="SuperHeading"/>
      </w:pPr>
      <w:r w:rsidRPr="00F87DD1">
        <w:t>MEM23138 Evaluate suitability of materials for engineering-related applications</w:t>
      </w:r>
    </w:p>
    <w:p w:rsidR="00000000" w:rsidRPr="00F87DD1" w:rsidP="00F87DD1">
      <w:pPr>
        <w:pStyle w:val="Heading1"/>
      </w:pPr>
      <w:bookmarkStart w:id="1" w:name="O_944437"/>
      <w:bookmarkEnd w:id="1"/>
      <w:r w:rsidRPr="00F87DD1">
        <w:t>Modification History</w:t>
      </w:r>
    </w:p>
    <w:p w:rsidR="005E6769" w:rsidP="005E6769">
      <w:pPr>
        <w:pStyle w:val="BodyText"/>
      </w:pPr>
      <w:r w:rsidRPr="00F87DD1">
        <w:t>Release 1. Supersedes and is equivalent to MEM23138A Evaluate suitability of materials for engineering-related applications.</w:t>
      </w:r>
    </w:p>
    <w:p w:rsidR="00000000" w:rsidRPr="00F87DD1" w:rsidP="00F87DD1">
      <w:pPr>
        <w:pStyle w:val="Heading1"/>
      </w:pPr>
      <w:bookmarkStart w:id="2" w:name="O_944445"/>
      <w:bookmarkEnd w:id="2"/>
      <w:r w:rsidRPr="00F87DD1">
        <w:t>Application</w:t>
      </w:r>
    </w:p>
    <w:p w:rsidR="00000000" w:rsidRPr="00F87DD1" w:rsidP="005E6769">
      <w:pPr>
        <w:pStyle w:val="BodyText"/>
      </w:pPr>
      <w:r w:rsidRPr="00F87DD1">
        <w:t>This unit of competency defines the skills and knowledge required to evaluate materials used in manufacturing, engineering or related applications for their suitability in engineering-related projects or processes. It requires considera</w:t>
      </w:r>
      <w:r w:rsidRPr="00F87DD1">
        <w:t>tion of materials with regard to design requirements, sustainability, product manufacturability, facilities, services, plant and tooling, and safe use.</w:t>
      </w:r>
    </w:p>
    <w:p w:rsidR="00000000" w:rsidRPr="00F87DD1" w:rsidP="005E6769">
      <w:pPr>
        <w:pStyle w:val="BodyText"/>
      </w:pPr>
      <w:r w:rsidRPr="00F87DD1">
        <w:t>It is suitable for people working as manufacturing, maintenance, design and drafting technicians or para</w:t>
      </w:r>
      <w:r w:rsidRPr="00F87DD1">
        <w:t>professionals, and those pursuing manufacturing engineering or related technical qualifications.</w:t>
      </w:r>
    </w:p>
    <w:p w:rsidR="005E6769" w:rsidP="005E6769">
      <w:pPr>
        <w:pStyle w:val="BodyText"/>
      </w:pPr>
      <w:r w:rsidRPr="00F87DD1">
        <w:t>No licensing, legislative or certification requirements apply to this unit at the time of publication.</w:t>
      </w:r>
    </w:p>
    <w:p w:rsidR="00000000" w:rsidRPr="00F87DD1" w:rsidP="00F87DD1">
      <w:pPr>
        <w:pStyle w:val="Heading1"/>
      </w:pPr>
      <w:bookmarkStart w:id="3" w:name="O_944444"/>
      <w:bookmarkEnd w:id="3"/>
      <w:r w:rsidRPr="00F87DD1">
        <w:t>Pre-requisite Unit</w:t>
      </w:r>
    </w:p>
    <w:p w:rsidR="005E6769" w:rsidP="005E6769">
      <w:pPr>
        <w:pStyle w:val="BodyText"/>
      </w:pPr>
      <w:r w:rsidRPr="00F87DD1">
        <w:t>MEM23004 Apply tech</w:t>
      </w:r>
      <w:r w:rsidRPr="00F87DD1">
        <w:t>nical mathematics</w:t>
      </w:r>
    </w:p>
    <w:p w:rsidR="00000000" w:rsidRPr="00F87DD1" w:rsidP="00F87DD1">
      <w:pPr>
        <w:pStyle w:val="Heading1"/>
      </w:pPr>
      <w:bookmarkStart w:id="4" w:name="O_944443"/>
      <w:bookmarkEnd w:id="4"/>
      <w:r w:rsidRPr="00F87DD1">
        <w:t>Competency Field</w:t>
      </w:r>
    </w:p>
    <w:p w:rsidR="005E6769" w:rsidP="005E6769">
      <w:pPr>
        <w:pStyle w:val="BodyText"/>
      </w:pPr>
      <w:r w:rsidRPr="00F87DD1">
        <w:t>Engineering science</w:t>
      </w:r>
    </w:p>
    <w:p w:rsidR="00000000" w:rsidRPr="00F87DD1" w:rsidP="00F87DD1">
      <w:pPr>
        <w:pStyle w:val="Heading1"/>
      </w:pPr>
      <w:bookmarkStart w:id="5" w:name="O_944441"/>
      <w:bookmarkEnd w:id="5"/>
      <w:r w:rsidRPr="00F87DD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5E67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D1" w:rsidP="00F87DD1">
            <w:pPr>
              <w:pStyle w:val="BodyText"/>
            </w:pPr>
            <w:r w:rsidRPr="00F87DD1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D1">
            <w:pPr>
              <w:pStyle w:val="BodyText"/>
              <w:rPr>
                <w:lang w:val="en-NZ"/>
              </w:rPr>
            </w:pPr>
            <w:r w:rsidRPr="00F87DD1">
              <w:rPr>
                <w:rStyle w:val="SpecialBold"/>
              </w:rPr>
              <w:t>Performance Criteria</w:t>
            </w:r>
          </w:p>
        </w:tc>
      </w:tr>
      <w:tr w:rsidTr="005E67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D1" w:rsidP="00F87DD1">
            <w:pPr>
              <w:pStyle w:val="BodyText"/>
            </w:pPr>
            <w:r w:rsidRPr="00F87DD1">
              <w:rPr>
                <w:rStyle w:val="Emphasis"/>
              </w:rPr>
              <w:t xml:space="preserve">Elements describe the </w:t>
            </w:r>
            <w:r w:rsidRPr="00F87DD1">
              <w:t xml:space="preserve">essential </w:t>
            </w:r>
            <w:r w:rsidRPr="00F87DD1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D1">
            <w:pPr>
              <w:pStyle w:val="BodyText"/>
              <w:rPr>
                <w:lang w:val="en-NZ"/>
              </w:rPr>
            </w:pPr>
            <w:r w:rsidRPr="00F87D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67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D1">
            <w:pPr>
              <w:pStyle w:val="BodyText"/>
              <w:rPr>
                <w:lang w:val="en-NZ"/>
              </w:rPr>
            </w:pPr>
            <w:r w:rsidRPr="00F87DD1">
              <w:t>1. Determine scope of materials evaluation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D1" w:rsidP="00F87DD1">
            <w:pPr>
              <w:pStyle w:val="BodyText"/>
            </w:pPr>
            <w:r w:rsidRPr="00F87DD1">
              <w:t>1.1 Identify materials to be evaluated and their related manufacturing or engineering-related applications</w:t>
            </w:r>
          </w:p>
          <w:p w:rsidR="00000000" w:rsidRPr="00F87DD1" w:rsidP="00F87DD1">
            <w:pPr>
              <w:pStyle w:val="BodyText"/>
            </w:pPr>
            <w:r w:rsidRPr="00F87DD1">
              <w:t>1.2 Confi</w:t>
            </w:r>
            <w:r w:rsidRPr="00F87DD1">
              <w:t>rm stakeholders to be consulted on the evaluation</w:t>
            </w:r>
          </w:p>
          <w:p w:rsidR="00000000" w:rsidRPr="00F87DD1" w:rsidP="00F87DD1">
            <w:pPr>
              <w:pStyle w:val="BodyText"/>
            </w:pPr>
            <w:r w:rsidRPr="00F87DD1">
              <w:t>1.3 Confirm appropriate support, including technical and professional assistance, is available</w:t>
            </w:r>
          </w:p>
          <w:p w:rsidR="00000000" w:rsidP="00F87DD1">
            <w:pPr>
              <w:pStyle w:val="BodyText"/>
              <w:rPr>
                <w:lang w:val="en-NZ"/>
              </w:rPr>
            </w:pPr>
            <w:r w:rsidRPr="00F87DD1">
              <w:t>1.4 Identify relevant work health and safety (WHS) and regulatory requirements, standards, codes of practice, r</w:t>
            </w:r>
            <w:r w:rsidRPr="00F87DD1">
              <w:t>isk management and organisational procedures</w:t>
            </w:r>
          </w:p>
        </w:tc>
      </w:tr>
      <w:tr w:rsidTr="005E67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D1">
            <w:pPr>
              <w:pStyle w:val="BodyText"/>
              <w:rPr>
                <w:lang w:val="en-NZ"/>
              </w:rPr>
            </w:pPr>
            <w:r w:rsidRPr="00F87DD1">
              <w:t>2. Prepare for evaluation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D1" w:rsidP="00F87DD1">
            <w:pPr>
              <w:pStyle w:val="BodyText"/>
            </w:pPr>
            <w:r w:rsidRPr="00F87DD1">
              <w:t>2.1 Review design information about related products and processes for material specifications</w:t>
            </w:r>
          </w:p>
          <w:p w:rsidR="00000000" w:rsidRPr="00F87DD1" w:rsidP="00F87DD1">
            <w:pPr>
              <w:pStyle w:val="BodyText"/>
            </w:pPr>
            <w:r w:rsidRPr="00F87DD1">
              <w:t>2.2 Identify analysis principles and techniques relevant to the materials, processes, services, plant and tooling covered by the evaluation</w:t>
            </w:r>
          </w:p>
          <w:p w:rsidR="00000000" w:rsidRPr="00F87DD1" w:rsidP="00F87DD1">
            <w:pPr>
              <w:pStyle w:val="BodyText"/>
            </w:pPr>
            <w:r w:rsidRPr="00F87DD1">
              <w:t>2.3 Identify appropriate analysis software and software validation techniques</w:t>
            </w:r>
          </w:p>
          <w:p w:rsidR="00000000" w:rsidP="00F87DD1">
            <w:pPr>
              <w:pStyle w:val="BodyText"/>
              <w:rPr>
                <w:lang w:val="en-NZ"/>
              </w:rPr>
            </w:pPr>
            <w:r w:rsidRPr="00F87DD1">
              <w:t>2.4 Investigate sustainability implica</w:t>
            </w:r>
            <w:r w:rsidRPr="00F87DD1">
              <w:t>tions of materials and related manufacturing or engineering processes</w:t>
            </w:r>
          </w:p>
        </w:tc>
      </w:tr>
      <w:tr w:rsidTr="005E67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D1">
            <w:pPr>
              <w:pStyle w:val="BodyText"/>
              <w:rPr>
                <w:lang w:val="en-NZ"/>
              </w:rPr>
            </w:pPr>
            <w:r w:rsidRPr="00F87DD1">
              <w:t>3. Evaluate materials and processes for an application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D1" w:rsidP="00F87DD1">
            <w:pPr>
              <w:pStyle w:val="BodyText"/>
            </w:pPr>
            <w:r w:rsidRPr="00F87DD1">
              <w:t>3.1 Determine properties of materials under evaluation, and supervise any required tests</w:t>
            </w:r>
          </w:p>
          <w:p w:rsidR="00000000" w:rsidRPr="00F87DD1" w:rsidP="00F87DD1">
            <w:pPr>
              <w:pStyle w:val="BodyText"/>
            </w:pPr>
            <w:r w:rsidRPr="00F87DD1">
              <w:t>3.2 Assess materials and related processe</w:t>
            </w:r>
            <w:r w:rsidRPr="00F87DD1">
              <w:t>s for compliance with WHS and other regulatory and risk management requirements</w:t>
            </w:r>
          </w:p>
          <w:p w:rsidR="00000000" w:rsidRPr="00F87DD1" w:rsidP="00F87DD1">
            <w:pPr>
              <w:pStyle w:val="BodyText"/>
            </w:pPr>
            <w:r w:rsidRPr="00F87DD1">
              <w:t>3.3 Assess material, product and processes for sustainability</w:t>
            </w:r>
          </w:p>
          <w:p w:rsidR="00000000" w:rsidRPr="00F87DD1" w:rsidP="00F87DD1">
            <w:pPr>
              <w:pStyle w:val="BodyText"/>
            </w:pPr>
            <w:r w:rsidRPr="00F87DD1">
              <w:t>3.4 Review materials for product and process suitability and process optimisation</w:t>
            </w:r>
          </w:p>
          <w:p w:rsidR="00000000" w:rsidP="00F87DD1">
            <w:pPr>
              <w:pStyle w:val="BodyText"/>
              <w:rPr>
                <w:lang w:val="en-NZ"/>
              </w:rPr>
            </w:pPr>
            <w:r w:rsidRPr="00F87DD1">
              <w:t>3.5 Apply systems thinking, cont</w:t>
            </w:r>
            <w:r w:rsidRPr="00F87DD1">
              <w:t>inuous improvement, problem-solving and decision-making, and constraint and contingency management principles and techniques to evaluation</w:t>
            </w:r>
          </w:p>
        </w:tc>
      </w:tr>
      <w:tr w:rsidTr="005E676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D1">
            <w:pPr>
              <w:pStyle w:val="BodyText"/>
              <w:rPr>
                <w:lang w:val="en-NZ"/>
              </w:rPr>
            </w:pPr>
            <w:r w:rsidRPr="00F87DD1">
              <w:t>4. Report results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D1" w:rsidP="00F87DD1">
            <w:pPr>
              <w:pStyle w:val="BodyText"/>
            </w:pPr>
            <w:r w:rsidRPr="00F87DD1">
              <w:t>4.1 Record results of evaluation</w:t>
            </w:r>
          </w:p>
          <w:p w:rsidR="00000000" w:rsidRPr="00F87DD1" w:rsidP="00F87DD1">
            <w:pPr>
              <w:pStyle w:val="BodyText"/>
            </w:pPr>
            <w:r w:rsidRPr="00F87DD1">
              <w:t>4.2 Provide documentation including tool, product and process ana</w:t>
            </w:r>
            <w:r w:rsidRPr="00F87DD1">
              <w:t>lysis, and computer-aided design (CAD) files</w:t>
            </w:r>
          </w:p>
        </w:tc>
      </w:tr>
    </w:tbl>
    <w:p w:rsidR="005E6769" w:rsidP="00F87DD1">
      <w:pPr>
        <w:pStyle w:val="BodyText"/>
      </w:pPr>
    </w:p>
    <w:p w:rsidR="005E6769" w:rsidP="00F87DD1">
      <w:pPr>
        <w:pStyle w:val="BodyText"/>
      </w:pPr>
    </w:p>
    <w:p w:rsidR="00000000" w:rsidRPr="00F87DD1" w:rsidP="00F87DD1">
      <w:pPr>
        <w:pStyle w:val="Heading1"/>
      </w:pPr>
      <w:bookmarkStart w:id="6" w:name="O_944440"/>
      <w:bookmarkEnd w:id="6"/>
      <w:r w:rsidRPr="00F87DD1">
        <w:t>Foundation Skills</w:t>
      </w:r>
    </w:p>
    <w:p w:rsidR="00000000" w:rsidRPr="00F87DD1" w:rsidP="005E6769">
      <w:pPr>
        <w:pStyle w:val="BodyText"/>
      </w:pPr>
      <w:r w:rsidRPr="00F87DD1">
        <w:t>This section describes those language, literacy, numeracy and employment skills that are essential to performance.</w:t>
      </w:r>
    </w:p>
    <w:p w:rsidR="005E6769" w:rsidP="005E6769">
      <w:pPr>
        <w:pStyle w:val="BodyText"/>
      </w:pPr>
      <w:r w:rsidRPr="00F87DD1">
        <w:t>Foundation skills essential to performance are explicit in</w:t>
      </w:r>
      <w:r w:rsidRPr="00F87DD1">
        <w:t xml:space="preserve"> the performance criteria of this unit of competency.</w:t>
      </w:r>
    </w:p>
    <w:p w:rsidR="00000000" w:rsidRPr="00F87DD1" w:rsidP="00F87DD1">
      <w:pPr>
        <w:pStyle w:val="Heading1"/>
      </w:pPr>
      <w:bookmarkStart w:id="7" w:name="O_944439"/>
      <w:bookmarkEnd w:id="7"/>
      <w:r w:rsidRPr="00F87DD1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87DD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D1">
            <w:pPr>
              <w:pStyle w:val="BodyText"/>
              <w:rPr>
                <w:lang w:val="en-NZ"/>
              </w:rPr>
            </w:pPr>
            <w:r w:rsidRPr="00F87DD1">
              <w:t xml:space="preserve">This field allows for different work environments and conditions that may affect performance. Essential operating conditions that may be present </w:t>
            </w:r>
            <w:r w:rsidRPr="00F87DD1">
              <w:t>(depending on the work situation, needs of the candidate, accessibility of the item, and local industry and regional contexts) are included.</w:t>
            </w:r>
          </w:p>
        </w:tc>
      </w:tr>
      <w:tr w:rsidTr="00F87DD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D1">
            <w:pPr>
              <w:pStyle w:val="BodyText"/>
              <w:rPr>
                <w:lang w:val="en-NZ"/>
              </w:rPr>
            </w:pPr>
            <w:r w:rsidRPr="00F87DD1">
              <w:t>Appropriate technical and professional assistance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D1" w:rsidP="00F87DD1">
            <w:pPr>
              <w:pStyle w:val="ListBullet"/>
            </w:pPr>
            <w:r w:rsidRPr="00F87DD1">
              <w:t>technical support and advice relating to elements wh</w:t>
            </w:r>
            <w:r w:rsidRPr="00F87DD1">
              <w:t>ich have intrinsic dangers</w:t>
            </w:r>
          </w:p>
          <w:p w:rsidR="00000000" w:rsidP="00F87DD1">
            <w:pPr>
              <w:pStyle w:val="ListBullet"/>
              <w:rPr>
                <w:lang w:val="en-NZ"/>
              </w:rPr>
            </w:pPr>
            <w:r w:rsidRPr="00F87DD1">
              <w:t>professional support for technologies.</w:t>
            </w:r>
          </w:p>
        </w:tc>
      </w:tr>
      <w:tr w:rsidTr="00F87DD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D1">
            <w:pPr>
              <w:pStyle w:val="BodyText"/>
              <w:rPr>
                <w:lang w:val="en-NZ"/>
              </w:rPr>
            </w:pPr>
            <w:r w:rsidRPr="00F87DD1">
              <w:t>WHS, regulatory requirements and 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D1" w:rsidP="00F87DD1">
            <w:pPr>
              <w:pStyle w:val="ListBullet"/>
            </w:pPr>
            <w:r w:rsidRPr="00F87DD1">
              <w:t>WHS acts, regulations and relevant standards</w:t>
            </w:r>
          </w:p>
          <w:p w:rsidR="00000000" w:rsidRPr="00F87DD1" w:rsidP="00F87DD1">
            <w:pPr>
              <w:pStyle w:val="ListBullet"/>
            </w:pPr>
            <w:r w:rsidRPr="00F87DD1">
              <w:t>codes of practice from Australian and overseas engineering and technical associations and societies</w:t>
            </w:r>
          </w:p>
          <w:p w:rsidR="00000000" w:rsidRPr="00F87DD1" w:rsidP="00F87DD1">
            <w:pPr>
              <w:pStyle w:val="ListBullet"/>
            </w:pPr>
            <w:r w:rsidRPr="00F87DD1">
              <w:t>risk assessments</w:t>
            </w:r>
          </w:p>
          <w:p w:rsidR="00000000" w:rsidRPr="00F87DD1" w:rsidP="00F87DD1">
            <w:pPr>
              <w:pStyle w:val="ListBullet"/>
            </w:pPr>
            <w:r w:rsidRPr="00F87DD1">
              <w:t>registration requirements</w:t>
            </w:r>
          </w:p>
          <w:p w:rsidR="00000000" w:rsidRPr="00F87DD1" w:rsidP="00F87DD1">
            <w:pPr>
              <w:pStyle w:val="ListBullet"/>
            </w:pPr>
            <w:r w:rsidRPr="00F87DD1">
              <w:t>safe work practices</w:t>
            </w:r>
          </w:p>
          <w:p w:rsidR="00000000" w:rsidP="00F87DD1">
            <w:pPr>
              <w:pStyle w:val="ListBullet"/>
              <w:rPr>
                <w:lang w:val="en-NZ"/>
              </w:rPr>
            </w:pPr>
            <w:r w:rsidRPr="00F87DD1">
              <w:t>state and territory regulatory requirements applying to electrical work.</w:t>
            </w:r>
          </w:p>
        </w:tc>
      </w:tr>
      <w:tr w:rsidTr="00F87DD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DD1">
            <w:pPr>
              <w:pStyle w:val="BodyText"/>
              <w:rPr>
                <w:lang w:val="en-NZ"/>
              </w:rPr>
            </w:pPr>
            <w:r w:rsidRPr="00F87DD1">
              <w:t>Sustainability incl</w:t>
            </w:r>
            <w:r w:rsidRPr="00F87DD1">
              <w:t>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DD1" w:rsidP="00F87DD1">
            <w:pPr>
              <w:pStyle w:val="ListBullet"/>
            </w:pPr>
            <w:r w:rsidRPr="00F87DD1">
              <w:t>meeting all regulatory requirements</w:t>
            </w:r>
          </w:p>
          <w:p w:rsidR="00000000" w:rsidRPr="00F87DD1" w:rsidP="00F87DD1">
            <w:pPr>
              <w:pStyle w:val="ListBullet"/>
            </w:pPr>
            <w:r w:rsidRPr="00F87DD1">
              <w:t>conforming to all industry covenants, protocols and best practice guides</w:t>
            </w:r>
          </w:p>
          <w:p w:rsidR="00000000" w:rsidRPr="00F87DD1" w:rsidP="00F87DD1">
            <w:pPr>
              <w:pStyle w:val="ListBullet"/>
            </w:pPr>
            <w:r w:rsidRPr="00F87DD1">
              <w:t>minimising ecological and environmental footprint of process, plant and product</w:t>
            </w:r>
          </w:p>
          <w:p w:rsidR="00000000" w:rsidRPr="00F87DD1" w:rsidP="00F87DD1">
            <w:pPr>
              <w:pStyle w:val="ListBullet"/>
            </w:pPr>
            <w:r w:rsidRPr="00F87DD1">
              <w:t xml:space="preserve">maximising economic benefit of process plant and product to </w:t>
            </w:r>
            <w:r w:rsidRPr="00F87DD1">
              <w:t>the organisation and the community</w:t>
            </w:r>
          </w:p>
          <w:p w:rsidR="00000000" w:rsidRPr="00F87DD1" w:rsidP="00F87DD1">
            <w:pPr>
              <w:pStyle w:val="ListBullet"/>
            </w:pPr>
            <w:r w:rsidRPr="00F87DD1">
              <w:t>minimising the negative WHS impact on employees, community and customer.</w:t>
            </w:r>
          </w:p>
        </w:tc>
      </w:tr>
    </w:tbl>
    <w:p w:rsidR="005E6769" w:rsidP="00F87DD1">
      <w:pPr>
        <w:pStyle w:val="BodyText"/>
      </w:pPr>
    </w:p>
    <w:p w:rsidR="005E6769" w:rsidP="00F87DD1">
      <w:pPr>
        <w:pStyle w:val="BodyText"/>
      </w:pPr>
    </w:p>
    <w:p w:rsidR="00000000" w:rsidRPr="00F87DD1" w:rsidP="00F87DD1">
      <w:pPr>
        <w:pStyle w:val="Heading1"/>
      </w:pPr>
      <w:bookmarkStart w:id="8" w:name="O_944438"/>
      <w:bookmarkEnd w:id="8"/>
      <w:r w:rsidRPr="00F87DD1">
        <w:t>Unit Mapping Information</w:t>
      </w:r>
    </w:p>
    <w:p w:rsidR="005E6769" w:rsidP="005E6769">
      <w:pPr>
        <w:pStyle w:val="BodyText"/>
      </w:pPr>
      <w:r w:rsidRPr="00F87DD1">
        <w:t>Release 1. Supersedes and is equivalent to MEM23138A Evaluate suitability of materials for engineering-related applications.</w:t>
      </w:r>
    </w:p>
    <w:p w:rsidR="00000000" w:rsidRPr="00F87DD1" w:rsidP="00F87DD1">
      <w:pPr>
        <w:pStyle w:val="Heading1"/>
      </w:pPr>
      <w:bookmarkStart w:id="9" w:name="O_944431"/>
      <w:bookmarkEnd w:id="9"/>
      <w:r w:rsidRPr="00F87DD1">
        <w:t>Links</w:t>
      </w:r>
    </w:p>
    <w:p w:rsidR="00000000" w:rsidRPr="00F87DD1" w:rsidP="005E6769">
      <w:pPr>
        <w:pStyle w:val="BodyText"/>
      </w:pPr>
      <w:r w:rsidRPr="00F87DD1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D440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87DD1" w:rsidP="00F87DD1"/>
    <w:sectPr w:rsidSect="00F87D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D1" w:rsidRPr="005E6769" w:rsidP="005E67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769" w:rsidP="00F87D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6769" w:rsidP="00F87D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E6769" w:rsidP="00F87D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7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DD1" w:rsidRPr="005E6769" w:rsidP="005E67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D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769" w:rsidRPr="002D2AF8" w:rsidP="00F87D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MEM23138 Evaluate suitability of materials for engineering-related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E6769" w:rsidP="00F87D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962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108A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D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D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D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D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D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D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D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D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D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D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D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DD1"/>
  </w:style>
  <w:style w:type="character" w:customStyle="1" w:styleId="Heading1Char">
    <w:name w:val="Heading 1 Char"/>
    <w:basedOn w:val="DefaultParagraphFont"/>
    <w:link w:val="Heading1"/>
    <w:rsid w:val="00F87D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D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D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D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DD1"/>
    <w:rPr>
      <w:b/>
      <w:spacing w:val="0"/>
    </w:rPr>
  </w:style>
  <w:style w:type="character" w:styleId="Emphasis">
    <w:name w:val="Emphasis"/>
    <w:basedOn w:val="DefaultParagraphFont"/>
    <w:qFormat/>
    <w:rsid w:val="00F87DD1"/>
    <w:rPr>
      <w:i/>
    </w:rPr>
  </w:style>
  <w:style w:type="paragraph" w:customStyle="1" w:styleId="SuperHeading">
    <w:name w:val="SuperHeading"/>
    <w:basedOn w:val="Normal"/>
    <w:rsid w:val="00F87D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D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D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D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D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D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D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D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D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D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D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D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D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D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D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D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D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D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D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D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D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7D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7D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D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D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D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D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D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D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D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D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7D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D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D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DD1"/>
  </w:style>
  <w:style w:type="paragraph" w:styleId="TableofFigures">
    <w:name w:val="table of figures"/>
    <w:basedOn w:val="Normal"/>
    <w:next w:val="Normal"/>
    <w:semiHidden/>
    <w:rsid w:val="00F87D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D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7DD1"/>
    <w:rPr>
      <w:rFonts w:ascii="Wingdings" w:hAnsi="Wingdings"/>
    </w:rPr>
  </w:style>
  <w:style w:type="paragraph" w:customStyle="1" w:styleId="TableHeading">
    <w:name w:val="Table Heading"/>
    <w:basedOn w:val="HeadingBase"/>
    <w:rsid w:val="00F87D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DD1"/>
    <w:rPr>
      <w:color w:val="0033CC"/>
      <w:u w:val="none"/>
    </w:rPr>
  </w:style>
  <w:style w:type="paragraph" w:customStyle="1" w:styleId="BodyTextRight">
    <w:name w:val="Body Text Right"/>
    <w:basedOn w:val="BodyText"/>
    <w:rsid w:val="00F87D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D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D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D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D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D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DD1"/>
    <w:rPr>
      <w:sz w:val="32"/>
    </w:rPr>
  </w:style>
  <w:style w:type="paragraph" w:customStyle="1" w:styleId="HeadingProcedure">
    <w:name w:val="Heading Procedure"/>
    <w:basedOn w:val="HeadingBase"/>
    <w:next w:val="Normal"/>
    <w:rsid w:val="00F87D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DD1"/>
    <w:pPr>
      <w:spacing w:before="60" w:after="60"/>
    </w:pPr>
  </w:style>
  <w:style w:type="paragraph" w:styleId="ListContinue">
    <w:name w:val="List Continue"/>
    <w:basedOn w:val="List"/>
    <w:rsid w:val="00F87DD1"/>
    <w:pPr>
      <w:ind w:firstLine="0"/>
    </w:pPr>
  </w:style>
  <w:style w:type="paragraph" w:customStyle="1" w:styleId="ListNote">
    <w:name w:val="List Note"/>
    <w:basedOn w:val="List"/>
    <w:rsid w:val="00F87D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D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D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DD1"/>
    <w:rPr>
      <w:rFonts w:ascii="Courier New" w:hAnsi="Courier New"/>
    </w:rPr>
  </w:style>
  <w:style w:type="paragraph" w:customStyle="1" w:styleId="NoteBullet">
    <w:name w:val="Note Bullet"/>
    <w:basedOn w:val="Note"/>
    <w:rsid w:val="00F87D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D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D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D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D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7D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D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DD1"/>
    <w:rPr>
      <w:b/>
      <w:smallCaps/>
    </w:rPr>
  </w:style>
  <w:style w:type="paragraph" w:customStyle="1" w:styleId="TableListNumber">
    <w:name w:val="Table List Number"/>
    <w:basedOn w:val="ListNumber"/>
    <w:rsid w:val="00F87D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D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DD1"/>
    <w:pPr>
      <w:numPr>
        <w:numId w:val="8"/>
      </w:numPr>
    </w:pPr>
  </w:style>
  <w:style w:type="paragraph" w:customStyle="1" w:styleId="ListAlpha2">
    <w:name w:val="List Alpha 2"/>
    <w:basedOn w:val="List2"/>
    <w:rsid w:val="00F87DD1"/>
    <w:pPr>
      <w:numPr>
        <w:numId w:val="7"/>
      </w:numPr>
    </w:pPr>
  </w:style>
  <w:style w:type="paragraph" w:styleId="List2">
    <w:name w:val="List 2"/>
    <w:basedOn w:val="BodyText"/>
    <w:rsid w:val="00F87D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D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D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D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D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D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7DD1"/>
    <w:pPr>
      <w:numPr>
        <w:numId w:val="3"/>
      </w:numPr>
    </w:pPr>
  </w:style>
  <w:style w:type="paragraph" w:styleId="ListContinue2">
    <w:name w:val="List Continue 2"/>
    <w:basedOn w:val="List2"/>
    <w:rsid w:val="00F87DD1"/>
    <w:pPr>
      <w:ind w:firstLine="0"/>
    </w:pPr>
  </w:style>
  <w:style w:type="paragraph" w:styleId="ListContinue3">
    <w:name w:val="List Continue 3"/>
    <w:basedOn w:val="List3"/>
    <w:rsid w:val="00F87DD1"/>
    <w:pPr>
      <w:ind w:left="1021" w:firstLine="0"/>
    </w:pPr>
  </w:style>
  <w:style w:type="paragraph" w:styleId="ListContinue4">
    <w:name w:val="List Continue 4"/>
    <w:basedOn w:val="List4"/>
    <w:rsid w:val="00F87DD1"/>
    <w:pPr>
      <w:ind w:firstLine="0"/>
    </w:pPr>
  </w:style>
  <w:style w:type="paragraph" w:styleId="ListContinue5">
    <w:name w:val="List Continue 5"/>
    <w:basedOn w:val="List5"/>
    <w:rsid w:val="00F87DD1"/>
    <w:pPr>
      <w:ind w:firstLine="0"/>
    </w:pPr>
  </w:style>
  <w:style w:type="paragraph" w:styleId="ListNumber3">
    <w:name w:val="List Number 3"/>
    <w:basedOn w:val="List3"/>
    <w:rsid w:val="00F87DD1"/>
    <w:pPr>
      <w:numPr>
        <w:numId w:val="4"/>
      </w:numPr>
    </w:pPr>
  </w:style>
  <w:style w:type="paragraph" w:styleId="ListNumber4">
    <w:name w:val="List Number 4"/>
    <w:basedOn w:val="List4"/>
    <w:rsid w:val="00F87DD1"/>
    <w:pPr>
      <w:numPr>
        <w:numId w:val="5"/>
      </w:numPr>
    </w:pPr>
  </w:style>
  <w:style w:type="paragraph" w:styleId="ListNumber5">
    <w:name w:val="List Number 5"/>
    <w:basedOn w:val="List5"/>
    <w:rsid w:val="00F87DD1"/>
    <w:pPr>
      <w:numPr>
        <w:numId w:val="6"/>
      </w:numPr>
    </w:pPr>
  </w:style>
  <w:style w:type="paragraph" w:styleId="BlockText">
    <w:name w:val="Block Text"/>
    <w:basedOn w:val="Normal"/>
    <w:rsid w:val="00F87D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D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DD1"/>
    <w:rPr>
      <w:sz w:val="16"/>
      <w:vertAlign w:val="superscript"/>
    </w:rPr>
  </w:style>
  <w:style w:type="character" w:customStyle="1" w:styleId="Symbols">
    <w:name w:val="Symbols"/>
    <w:basedOn w:val="DefaultParagraphFont"/>
    <w:rsid w:val="00F87DD1"/>
    <w:rPr>
      <w:rFonts w:ascii="Symbol" w:hAnsi="Symbol"/>
    </w:rPr>
  </w:style>
  <w:style w:type="character" w:customStyle="1" w:styleId="MenuOptions">
    <w:name w:val="Menu Options"/>
    <w:basedOn w:val="DefaultParagraphFont"/>
    <w:rsid w:val="00F87D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DD1"/>
    <w:rPr>
      <w:b/>
    </w:rPr>
  </w:style>
  <w:style w:type="character" w:customStyle="1" w:styleId="Underlined">
    <w:name w:val="Underlined"/>
    <w:basedOn w:val="DefaultParagraphFont"/>
    <w:rsid w:val="00F87DD1"/>
    <w:rPr>
      <w:u w:val="single"/>
    </w:rPr>
  </w:style>
  <w:style w:type="paragraph" w:customStyle="1" w:styleId="TableBodyTextRight">
    <w:name w:val="Table Body Text Right"/>
    <w:basedOn w:val="TableBodyText"/>
    <w:rsid w:val="00F87D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DD1"/>
    <w:rPr>
      <w:sz w:val="18"/>
    </w:rPr>
  </w:style>
  <w:style w:type="paragraph" w:customStyle="1" w:styleId="BodySmallRight">
    <w:name w:val="Body Small Right"/>
    <w:basedOn w:val="BodyTextRight"/>
    <w:rsid w:val="00F87DD1"/>
    <w:rPr>
      <w:sz w:val="18"/>
      <w:szCs w:val="18"/>
    </w:rPr>
  </w:style>
  <w:style w:type="paragraph" w:customStyle="1" w:styleId="MarginEdition">
    <w:name w:val="Margin Edition"/>
    <w:basedOn w:val="MarginNote"/>
    <w:rsid w:val="00F87D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DD1"/>
    <w:rPr>
      <w:sz w:val="2"/>
      <w:szCs w:val="2"/>
    </w:rPr>
  </w:style>
  <w:style w:type="character" w:customStyle="1" w:styleId="Small">
    <w:name w:val="Small"/>
    <w:basedOn w:val="DefaultParagraphFont"/>
    <w:rsid w:val="00F87DD1"/>
    <w:rPr>
      <w:sz w:val="16"/>
    </w:rPr>
  </w:style>
  <w:style w:type="paragraph" w:customStyle="1" w:styleId="WideTable">
    <w:name w:val="Wide Table"/>
    <w:basedOn w:val="Normal"/>
    <w:rsid w:val="00F87D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DD1"/>
  </w:style>
  <w:style w:type="paragraph" w:styleId="Quote">
    <w:name w:val="Quote"/>
    <w:basedOn w:val="Heading1"/>
    <w:link w:val="QuoteChar"/>
    <w:qFormat/>
    <w:rsid w:val="00F87D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D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DD1"/>
    <w:pPr>
      <w:pageBreakBefore/>
    </w:pPr>
  </w:style>
  <w:style w:type="paragraph" w:customStyle="1" w:styleId="Border">
    <w:name w:val="Border"/>
    <w:basedOn w:val="Normal"/>
    <w:qFormat/>
    <w:rsid w:val="00F87D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D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D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D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D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D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D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D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D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DD1"/>
    <w:rPr>
      <w:u w:val="single"/>
    </w:rPr>
  </w:style>
  <w:style w:type="character" w:customStyle="1" w:styleId="BoldandItalics">
    <w:name w:val="Bold and Italics"/>
    <w:qFormat/>
    <w:rsid w:val="00F87DD1"/>
    <w:rPr>
      <w:b/>
      <w:i/>
      <w:u w:val="none"/>
    </w:rPr>
  </w:style>
  <w:style w:type="paragraph" w:styleId="BalloonText">
    <w:name w:val="Balloon Text"/>
    <w:basedOn w:val="Normal"/>
    <w:link w:val="BalloonTextChar"/>
    <w:rsid w:val="00F87D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D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D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D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D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D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DD1"/>
    <w:pPr>
      <w:spacing w:before="0" w:after="0"/>
    </w:pPr>
  </w:style>
  <w:style w:type="paragraph" w:customStyle="1" w:styleId="BodyTextBold">
    <w:name w:val="Body Text Bold"/>
    <w:basedOn w:val="BodyText"/>
    <w:qFormat/>
    <w:rsid w:val="00F87DD1"/>
    <w:rPr>
      <w:b/>
    </w:rPr>
  </w:style>
  <w:style w:type="character" w:styleId="Hyperlink">
    <w:name w:val="Hyperlink"/>
    <w:basedOn w:val="DefaultParagraphFont"/>
    <w:uiPriority w:val="99"/>
    <w:unhideWhenUsed/>
    <w:rsid w:val="005E67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610</Words>
  <Characters>4305</Characters>
  <Application>Microsoft Office Word</Application>
  <DocSecurity>0</DocSecurity>
  <Lines>126</Lines>
  <Paragraphs>72</Paragraphs>
  <ScaleCrop>false</ScaleCrop>
  <Company>Author-it Software Corporation Ltd.</Company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MEM23138 Evaluate suitability of materials for engineering-related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2023-02-03T06:41:00Z</dcterms:created>
  <dcterms:modified xsi:type="dcterms:W3CDTF">2023-02-03T06:41:00Z</dcterms:modified>
</cp:coreProperties>
</file>