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E26" w:rsidP="00840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MEM23138 Evaluate suitability of materials for engineering-related applications</w:t>
      </w:r>
      <w:r>
        <w:fldChar w:fldCharType="end"/>
      </w:r>
    </w:p>
    <w:p w:rsidR="00840E26" w:rsidP="00840E26">
      <w:pPr>
        <w:pStyle w:val="Version"/>
        <w:sectPr w:rsidSect="00E50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4DC" w:rsidP="00E504DC">
      <w:pPr>
        <w:pStyle w:val="SuperHeading"/>
      </w:pPr>
      <w:r w:rsidRPr="00E504DC">
        <w:t>Assessment Requirements for MEM23138 Evaluate suitability of materials for engineering-related applications</w:t>
      </w:r>
    </w:p>
    <w:p w:rsidR="00000000" w:rsidRPr="00E504DC" w:rsidP="00E504DC">
      <w:pPr>
        <w:pStyle w:val="Heading1"/>
      </w:pPr>
      <w:bookmarkStart w:id="1" w:name="O_944433"/>
      <w:bookmarkEnd w:id="1"/>
      <w:r w:rsidRPr="00E504DC">
        <w:t>Modification History</w:t>
      </w:r>
    </w:p>
    <w:p w:rsidR="00840E26" w:rsidP="00840E26">
      <w:pPr>
        <w:pStyle w:val="BodyText"/>
      </w:pPr>
      <w:r w:rsidRPr="00E504DC">
        <w:t>Release 1. Supe</w:t>
      </w:r>
      <w:r w:rsidRPr="00E504DC">
        <w:t>rsedes and is equivalent to MEM23138A Evaluate suitability of materials for engineering-related applications.</w:t>
      </w:r>
    </w:p>
    <w:p w:rsidR="00000000" w:rsidRPr="00E504DC" w:rsidP="00E504DC">
      <w:pPr>
        <w:pStyle w:val="Heading1"/>
      </w:pPr>
      <w:bookmarkStart w:id="2" w:name="O_944436"/>
      <w:bookmarkEnd w:id="2"/>
      <w:r w:rsidRPr="00E504DC">
        <w:t>Performance Evidence</w:t>
      </w:r>
    </w:p>
    <w:p w:rsidR="00000000" w:rsidRPr="00E504DC" w:rsidP="00840E26">
      <w:pPr>
        <w:pStyle w:val="BodyText"/>
      </w:pPr>
      <w:r w:rsidRPr="00E504DC">
        <w:t>Evidence required to demonstrate competence in this unit must be relevant to and satisfy the requirements o</w:t>
      </w:r>
      <w:r w:rsidRPr="00E504DC">
        <w:t>f the elements and performance criteria and include:</w:t>
      </w:r>
    </w:p>
    <w:p w:rsidR="00000000" w:rsidRPr="00E504DC" w:rsidP="00E504DC">
      <w:pPr>
        <w:pStyle w:val="ListBullet"/>
      </w:pPr>
      <w:r w:rsidRPr="00E504DC">
        <w:t>determining suitability of materials for manufacturing and engineering applications and processes on at least two occasions</w:t>
      </w:r>
    </w:p>
    <w:p w:rsidR="00000000" w:rsidRPr="00E504DC" w:rsidP="00E504DC">
      <w:pPr>
        <w:pStyle w:val="ListBullet"/>
      </w:pPr>
      <w:r w:rsidRPr="00E504DC">
        <w:t>investigating sustainability implications for materials and related applicatio</w:t>
      </w:r>
      <w:r w:rsidRPr="00E504DC">
        <w:t>ns</w:t>
      </w:r>
    </w:p>
    <w:p w:rsidR="00000000" w:rsidRPr="00E504DC" w:rsidP="00E504DC">
      <w:pPr>
        <w:pStyle w:val="ListBullet"/>
      </w:pPr>
      <w:r w:rsidRPr="00E504DC">
        <w:t>determining and reviewing material properties related to applications on at least two occasions</w:t>
      </w:r>
    </w:p>
    <w:p w:rsidR="00000000" w:rsidRPr="00E504DC" w:rsidP="00E504DC">
      <w:pPr>
        <w:pStyle w:val="ListBullet"/>
      </w:pPr>
      <w:r w:rsidRPr="00E504DC">
        <w:t>identifying materials processing principles and techniques, including facilities, services, plant and tooling, and analysis techniques and software, includin</w:t>
      </w:r>
      <w:r w:rsidRPr="00E504DC">
        <w:t>g supervisory control and data acquisition (SCADA)</w:t>
      </w:r>
    </w:p>
    <w:p w:rsidR="00000000" w:rsidRPr="00E504DC" w:rsidP="00E504DC">
      <w:pPr>
        <w:pStyle w:val="ListBullet"/>
      </w:pPr>
      <w:r w:rsidRPr="00E504DC">
        <w:t>evaluating work health and safety (WHS), regulatory and risk management compliance</w:t>
      </w:r>
    </w:p>
    <w:p w:rsidR="00000000" w:rsidRPr="00E504DC" w:rsidP="00E504DC">
      <w:pPr>
        <w:pStyle w:val="ListBullet"/>
      </w:pPr>
      <w:r w:rsidRPr="00E504DC">
        <w:t>reporting and documenting results of evaluation.</w:t>
      </w:r>
    </w:p>
    <w:p w:rsidR="00840E26" w:rsidP="00840E26">
      <w:pPr>
        <w:pStyle w:val="BodyText"/>
      </w:pPr>
      <w:r w:rsidRPr="00E504DC">
        <w:t>Note: Where a volume and/or frequency is not specified, demonstration mus</w:t>
      </w:r>
      <w:r w:rsidRPr="00E504DC">
        <w:t>t be provided at least once.</w:t>
      </w:r>
    </w:p>
    <w:p w:rsidR="00000000" w:rsidRPr="00E504DC" w:rsidP="00E504DC">
      <w:pPr>
        <w:pStyle w:val="Heading1"/>
      </w:pPr>
      <w:bookmarkStart w:id="3" w:name="O_944435"/>
      <w:bookmarkEnd w:id="3"/>
      <w:r w:rsidRPr="00E504DC">
        <w:t>Knowledge Evidence</w:t>
      </w:r>
    </w:p>
    <w:p w:rsidR="00000000" w:rsidRPr="00E504DC" w:rsidP="00840E26">
      <w:pPr>
        <w:pStyle w:val="BodyText"/>
      </w:pPr>
      <w:r w:rsidRPr="00E504DC">
        <w:t>Evidence required to demonstrate the required knowledge for this unit must be relevant to and satisfy the requirements of the elements and performance criteria and include knowledge of:</w:t>
      </w:r>
    </w:p>
    <w:p w:rsidR="00000000" w:rsidRPr="00E504DC" w:rsidP="00E504DC">
      <w:pPr>
        <w:pStyle w:val="ListBullet"/>
      </w:pPr>
      <w:r w:rsidRPr="00E504DC">
        <w:t>sou</w:t>
      </w:r>
      <w:r w:rsidRPr="00E504DC">
        <w:t>rces of technical and professional assistance</w:t>
      </w:r>
    </w:p>
    <w:p w:rsidR="00000000" w:rsidRPr="00E504DC" w:rsidP="00E504DC">
      <w:pPr>
        <w:pStyle w:val="ListBullet"/>
      </w:pPr>
      <w:r w:rsidRPr="00E504DC">
        <w:t>sustainability implications of materials and related manufacturing and engineering-related products and processes</w:t>
      </w:r>
    </w:p>
    <w:p w:rsidR="00000000" w:rsidRPr="00E504DC" w:rsidP="00E504DC">
      <w:pPr>
        <w:pStyle w:val="ListBullet"/>
      </w:pPr>
      <w:r w:rsidRPr="00E504DC">
        <w:t>WHS and regulatory compliance requirements and risk management practices related to materials, i</w:t>
      </w:r>
      <w:r w:rsidRPr="00E504DC">
        <w:t>ncluding use of safety data sheets (SDS)</w:t>
      </w:r>
    </w:p>
    <w:p w:rsidR="00000000" w:rsidRPr="00E504DC" w:rsidP="00E504DC">
      <w:pPr>
        <w:pStyle w:val="ListBullet"/>
      </w:pPr>
      <w:r w:rsidRPr="00E504DC">
        <w:t>software options for materials and process analysis</w:t>
      </w:r>
    </w:p>
    <w:p w:rsidR="00000000" w:rsidRPr="00E504DC" w:rsidP="00E504DC">
      <w:pPr>
        <w:pStyle w:val="ListBullet"/>
      </w:pPr>
      <w:r w:rsidRPr="00E504DC">
        <w:t>common materials, properties and structures in manufacturing and engineering including:</w:t>
      </w:r>
    </w:p>
    <w:p w:rsidR="00000000" w:rsidRPr="00E504DC" w:rsidP="00E504DC">
      <w:pPr>
        <w:pStyle w:val="ListBullet2"/>
      </w:pPr>
      <w:r w:rsidRPr="00E504DC">
        <w:t>mechanical, electrical, thermal, optical, chemical and magnetic properties</w:t>
      </w:r>
    </w:p>
    <w:p w:rsidR="00000000" w:rsidRPr="00E504DC" w:rsidP="00E504DC">
      <w:pPr>
        <w:pStyle w:val="ListBullet2"/>
      </w:pPr>
      <w:r w:rsidRPr="00E504DC">
        <w:t>ferrous and nonferrous metals and alloys</w:t>
      </w:r>
    </w:p>
    <w:p w:rsidR="00000000" w:rsidRPr="00E504DC" w:rsidP="00E504DC">
      <w:pPr>
        <w:pStyle w:val="ListBullet2"/>
      </w:pPr>
      <w:r w:rsidRPr="00E504DC">
        <w:t>polymers</w:t>
      </w:r>
    </w:p>
    <w:p w:rsidR="00000000" w:rsidRPr="00E504DC" w:rsidP="00E504DC">
      <w:pPr>
        <w:pStyle w:val="ListBullet2"/>
      </w:pPr>
      <w:r w:rsidRPr="00E504DC">
        <w:t>ceramics</w:t>
      </w:r>
    </w:p>
    <w:p w:rsidR="00000000" w:rsidRPr="00E504DC" w:rsidP="00E504DC">
      <w:pPr>
        <w:pStyle w:val="ListBullet2"/>
      </w:pPr>
      <w:r w:rsidRPr="00E504DC">
        <w:t>composites</w:t>
      </w:r>
    </w:p>
    <w:p w:rsidR="00000000" w:rsidRPr="00E504DC" w:rsidP="00E504DC">
      <w:pPr>
        <w:pStyle w:val="ListBullet2"/>
      </w:pPr>
      <w:r w:rsidRPr="00E504DC">
        <w:t>glass</w:t>
      </w:r>
    </w:p>
    <w:p w:rsidR="00000000" w:rsidRPr="00E504DC" w:rsidP="00E504DC">
      <w:pPr>
        <w:pStyle w:val="ListBullet"/>
      </w:pPr>
      <w:r w:rsidRPr="00E504DC">
        <w:t>cold working of metals</w:t>
      </w:r>
    </w:p>
    <w:p w:rsidR="00000000" w:rsidRPr="00E504DC" w:rsidP="00E504DC">
      <w:pPr>
        <w:pStyle w:val="ListBullet"/>
      </w:pPr>
      <w:r w:rsidRPr="00E504DC">
        <w:t>metal heat treatment</w:t>
      </w:r>
    </w:p>
    <w:p w:rsidR="00000000" w:rsidRPr="00E504DC" w:rsidP="00E504DC">
      <w:pPr>
        <w:pStyle w:val="ListBullet"/>
      </w:pPr>
      <w:r w:rsidRPr="00E504DC">
        <w:t>processes for working, shaping and joining or materials including:</w:t>
      </w:r>
    </w:p>
    <w:p w:rsidR="00000000" w:rsidRPr="00E504DC" w:rsidP="00E504DC">
      <w:pPr>
        <w:pStyle w:val="ListBullet2"/>
      </w:pPr>
      <w:r w:rsidRPr="00E504DC">
        <w:t>metal machining</w:t>
      </w:r>
    </w:p>
    <w:p w:rsidR="00000000" w:rsidRPr="00E504DC" w:rsidP="00E504DC">
      <w:pPr>
        <w:pStyle w:val="ListBullet2"/>
      </w:pPr>
      <w:r w:rsidRPr="00E504DC">
        <w:t>metal cutting</w:t>
      </w:r>
    </w:p>
    <w:p w:rsidR="00000000" w:rsidRPr="00E504DC" w:rsidP="00E504DC">
      <w:pPr>
        <w:pStyle w:val="ListBullet2"/>
      </w:pPr>
      <w:r w:rsidRPr="00E504DC">
        <w:t>casting and moulding of metals</w:t>
      </w:r>
    </w:p>
    <w:p w:rsidR="00000000" w:rsidRPr="00E504DC" w:rsidP="00E504DC">
      <w:pPr>
        <w:pStyle w:val="ListBullet2"/>
      </w:pPr>
      <w:r w:rsidRPr="00E504DC">
        <w:t>fabri</w:t>
      </w:r>
      <w:r w:rsidRPr="00E504DC">
        <w:t>cating and welding of ferrous metals, nonferrous metals and plastics</w:t>
      </w:r>
    </w:p>
    <w:p w:rsidR="00000000" w:rsidRPr="00E504DC" w:rsidP="00E504DC">
      <w:pPr>
        <w:pStyle w:val="ListBullet2"/>
      </w:pPr>
      <w:r w:rsidRPr="00E504DC">
        <w:t>injection, compression and blow moulding of plastics</w:t>
      </w:r>
    </w:p>
    <w:p w:rsidR="00000000" w:rsidRPr="00E504DC" w:rsidP="00E504DC">
      <w:pPr>
        <w:pStyle w:val="ListBullet2"/>
      </w:pPr>
      <w:r w:rsidRPr="00E504DC">
        <w:t>extrusion of plastics and metals</w:t>
      </w:r>
    </w:p>
    <w:p w:rsidR="00000000" w:rsidRPr="00E504DC" w:rsidP="00E504DC">
      <w:pPr>
        <w:pStyle w:val="ListBullet2"/>
      </w:pPr>
      <w:r w:rsidRPr="00E504DC">
        <w:t>electroplating</w:t>
      </w:r>
    </w:p>
    <w:p w:rsidR="00000000" w:rsidRPr="00E504DC" w:rsidP="00E504DC">
      <w:pPr>
        <w:pStyle w:val="ListBullet2"/>
      </w:pPr>
      <w:r w:rsidRPr="00E504DC">
        <w:t>powder coating</w:t>
      </w:r>
    </w:p>
    <w:p w:rsidR="00000000" w:rsidRPr="00E504DC" w:rsidP="00E504DC">
      <w:pPr>
        <w:pStyle w:val="ListBullet2"/>
      </w:pPr>
      <w:r w:rsidRPr="00E504DC">
        <w:t>composite lay-up and moulding</w:t>
      </w:r>
    </w:p>
    <w:p w:rsidR="00000000" w:rsidRPr="00E504DC" w:rsidP="00E504DC">
      <w:pPr>
        <w:pStyle w:val="ListBullet2"/>
      </w:pPr>
      <w:r w:rsidRPr="00E504DC">
        <w:t>sintering of plastic and metal powders</w:t>
      </w:r>
    </w:p>
    <w:p w:rsidR="00000000" w:rsidRPr="00E504DC" w:rsidP="00E504DC">
      <w:pPr>
        <w:pStyle w:val="ListBullet2"/>
      </w:pPr>
      <w:r w:rsidRPr="00E504DC">
        <w:t>additive and rapid processes</w:t>
      </w:r>
    </w:p>
    <w:p w:rsidR="00000000" w:rsidRPr="00E504DC" w:rsidP="00E504DC">
      <w:pPr>
        <w:pStyle w:val="ListBullet2"/>
      </w:pPr>
      <w:r w:rsidRPr="00E504DC">
        <w:t>casting of metals</w:t>
      </w:r>
    </w:p>
    <w:p w:rsidR="00000000" w:rsidRPr="00E504DC" w:rsidP="00E504DC">
      <w:pPr>
        <w:pStyle w:val="ListBullet2"/>
      </w:pPr>
      <w:r w:rsidRPr="00E504DC">
        <w:t>stamping, drawing and roll forming of sheet metals</w:t>
      </w:r>
    </w:p>
    <w:p w:rsidR="00000000" w:rsidRPr="00E504DC" w:rsidP="00E504DC">
      <w:pPr>
        <w:pStyle w:val="ListBullet2"/>
      </w:pPr>
      <w:r w:rsidRPr="00E504DC">
        <w:t>forging of metals</w:t>
      </w:r>
    </w:p>
    <w:p w:rsidR="00000000" w:rsidRPr="00E504DC" w:rsidP="00E504DC">
      <w:pPr>
        <w:pStyle w:val="ListBullet2"/>
      </w:pPr>
      <w:r w:rsidRPr="00E504DC">
        <w:t>hot and cold rolling of billets, structural sections and coiled sheet</w:t>
      </w:r>
    </w:p>
    <w:p w:rsidR="00000000" w:rsidRPr="00E504DC" w:rsidP="00E504DC">
      <w:pPr>
        <w:pStyle w:val="ListBullet"/>
      </w:pPr>
      <w:r w:rsidRPr="00E504DC">
        <w:t>systems thinking, continuous improvement, problem-solving and decisio</w:t>
      </w:r>
      <w:r w:rsidRPr="00E504DC">
        <w:t>n-making, and constraint and contingency management principles and techniques</w:t>
      </w:r>
    </w:p>
    <w:p w:rsidR="00840E26" w:rsidP="00E504DC">
      <w:pPr>
        <w:pStyle w:val="ListBullet"/>
      </w:pPr>
      <w:r w:rsidRPr="00E504DC">
        <w:t>reporting and documentation requirements.</w:t>
      </w:r>
    </w:p>
    <w:p w:rsidR="00840E26" w:rsidP="00E504DC">
      <w:pPr>
        <w:pStyle w:val="ListBullet"/>
      </w:pPr>
    </w:p>
    <w:p w:rsidR="00000000" w:rsidRPr="00E504DC" w:rsidP="00E504DC">
      <w:pPr>
        <w:pStyle w:val="Heading1"/>
      </w:pPr>
      <w:bookmarkStart w:id="4" w:name="O_944434"/>
      <w:bookmarkEnd w:id="4"/>
      <w:r w:rsidRPr="00E504DC">
        <w:t>Assessment Conditions</w:t>
      </w:r>
    </w:p>
    <w:p w:rsidR="00000000" w:rsidRPr="00E504DC" w:rsidP="00E504DC">
      <w:pPr>
        <w:pStyle w:val="ListBullet"/>
      </w:pPr>
      <w:r w:rsidRPr="00E504DC">
        <w:t>Assessors must:</w:t>
      </w:r>
    </w:p>
    <w:p w:rsidR="00000000" w:rsidRPr="00E504DC" w:rsidP="00E504DC">
      <w:pPr>
        <w:pStyle w:val="ListBullet2"/>
      </w:pPr>
      <w:r w:rsidRPr="00E504DC">
        <w:t>have vocational competency in evaluating suitability of materials for engineering-related applications at least to the level being assessed with relevant industry knowledge and experience</w:t>
      </w:r>
    </w:p>
    <w:p w:rsidR="00000000" w:rsidRPr="00E504DC" w:rsidP="00E504DC">
      <w:pPr>
        <w:pStyle w:val="ListBullet2"/>
      </w:pPr>
      <w:r w:rsidRPr="00E504DC">
        <w:t xml:space="preserve">satisfy the assessor requirements in the </w:t>
      </w:r>
      <w:r w:rsidRPr="00E504DC">
        <w:rPr>
          <w:rStyle w:val="Emphasis"/>
        </w:rPr>
        <w:t>Standards for Registered Tr</w:t>
      </w:r>
      <w:r w:rsidRPr="00E504DC">
        <w:rPr>
          <w:rStyle w:val="Emphasis"/>
        </w:rPr>
        <w:t xml:space="preserve">aining Organisations 2015 or its replacement </w:t>
      </w:r>
      <w:r w:rsidRPr="00E504DC">
        <w:t xml:space="preserve">and comply with the </w:t>
      </w:r>
      <w:r w:rsidRPr="00E504DC">
        <w:rPr>
          <w:rStyle w:val="Emphasis"/>
        </w:rPr>
        <w:t xml:space="preserve">National Vocational Education and Training Regulator Act 2011, </w:t>
      </w:r>
      <w:r w:rsidRPr="00E504DC">
        <w:t>its replacement</w:t>
      </w:r>
      <w:r w:rsidRPr="00E504DC">
        <w:rPr>
          <w:rStyle w:val="Emphasis"/>
        </w:rPr>
        <w:t xml:space="preserve"> </w:t>
      </w:r>
      <w:r w:rsidRPr="00E504DC">
        <w:t>or equivalent legislation covering VET regulation in a non-referring state/territory as the case requires.</w:t>
      </w:r>
    </w:p>
    <w:p w:rsidR="00000000" w:rsidRPr="00E504DC" w:rsidP="00E504DC">
      <w:pPr>
        <w:pStyle w:val="ListBullet"/>
      </w:pPr>
      <w:r w:rsidRPr="00E504DC">
        <w:t>Wher</w:t>
      </w:r>
      <w:r w:rsidRPr="00E504DC">
        <w:t>e possible assessment must occur in operational workplace situations. Where this is not possible or where personal safety or environmental damage are limiting factors, assessment must occur in a sufficiently rigorous simulated environment that reflects rea</w:t>
      </w:r>
      <w:r w:rsidRPr="00E504DC">
        <w:t>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E504DC" w:rsidP="00E504DC">
      <w:pPr>
        <w:pStyle w:val="ListBullet"/>
      </w:pPr>
      <w:r w:rsidRPr="00E504DC">
        <w:t>Conditions for assessment must include acces</w:t>
      </w:r>
      <w:r w:rsidRPr="00E504DC">
        <w:t>s to all tools, equipment, materials and documentation required including relevant workplace procedures, product and manufacturing specifications.</w:t>
      </w:r>
    </w:p>
    <w:p w:rsidR="00840E26" w:rsidP="00E504DC">
      <w:pPr>
        <w:pStyle w:val="ListBullet"/>
      </w:pPr>
      <w:r w:rsidRPr="00E504DC">
        <w:t>Assessment processes and techniques must be appropriate to the language, literacy and numeracy requirements o</w:t>
      </w:r>
      <w:r w:rsidRPr="00E504DC">
        <w:t>f the work being performed and the needs of the candidate</w:t>
      </w:r>
    </w:p>
    <w:p w:rsidR="00840E26" w:rsidP="00E504DC">
      <w:pPr>
        <w:pStyle w:val="ListBullet"/>
      </w:pPr>
    </w:p>
    <w:p w:rsidR="00000000" w:rsidRPr="00E504DC" w:rsidP="00E504DC">
      <w:pPr>
        <w:pStyle w:val="Heading1"/>
      </w:pPr>
      <w:bookmarkStart w:id="5" w:name="O_944432"/>
      <w:bookmarkEnd w:id="5"/>
      <w:r w:rsidRPr="00E504DC">
        <w:t>Links</w:t>
      </w:r>
    </w:p>
    <w:p w:rsidR="00000000" w:rsidRPr="00E504DC" w:rsidP="00840E26">
      <w:pPr>
        <w:pStyle w:val="BodyText"/>
      </w:pPr>
      <w:r w:rsidRPr="00E504DC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730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504DC" w:rsidP="00E504DC"/>
    <w:sectPr w:rsidSect="00E504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DC" w:rsidRPr="00840E26" w:rsidP="00840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26" w:rsidP="00E50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E26" w:rsidP="00E50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0E26" w:rsidP="00E50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4DC" w:rsidRPr="00840E26" w:rsidP="00840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26" w:rsidRPr="002D2AF8" w:rsidP="00E50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MEM23138 Evaluate suitability of materials for engineering-related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0E26" w:rsidP="00E50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D6B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806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06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4DC"/>
  </w:style>
  <w:style w:type="character" w:customStyle="1" w:styleId="Heading1Char">
    <w:name w:val="Heading 1 Char"/>
    <w:basedOn w:val="DefaultParagraphFont"/>
    <w:link w:val="Heading1"/>
    <w:rsid w:val="00E50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4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04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04DC"/>
    <w:rPr>
      <w:i/>
    </w:rPr>
  </w:style>
  <w:style w:type="paragraph" w:customStyle="1" w:styleId="SuperHeading">
    <w:name w:val="SuperHeading"/>
    <w:basedOn w:val="Normal"/>
    <w:rsid w:val="00E50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4DC"/>
    <w:rPr>
      <w:b/>
      <w:spacing w:val="0"/>
    </w:rPr>
  </w:style>
  <w:style w:type="paragraph" w:customStyle="1" w:styleId="SuperTitle">
    <w:name w:val="SuperTitle"/>
    <w:basedOn w:val="Title"/>
    <w:rsid w:val="00E50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4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4DC"/>
  </w:style>
  <w:style w:type="paragraph" w:styleId="TableofFigures">
    <w:name w:val="table of figures"/>
    <w:basedOn w:val="Normal"/>
    <w:next w:val="Normal"/>
    <w:semiHidden/>
    <w:rsid w:val="00E50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4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4DC"/>
    <w:rPr>
      <w:rFonts w:ascii="Wingdings" w:hAnsi="Wingdings"/>
    </w:rPr>
  </w:style>
  <w:style w:type="paragraph" w:customStyle="1" w:styleId="TableHeading">
    <w:name w:val="Table Heading"/>
    <w:basedOn w:val="HeadingBase"/>
    <w:rsid w:val="00E50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4DC"/>
    <w:rPr>
      <w:color w:val="0033CC"/>
      <w:u w:val="none"/>
    </w:rPr>
  </w:style>
  <w:style w:type="paragraph" w:customStyle="1" w:styleId="BodyTextRight">
    <w:name w:val="Body Text Right"/>
    <w:basedOn w:val="BodyText"/>
    <w:rsid w:val="00E50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4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4DC"/>
    <w:rPr>
      <w:sz w:val="32"/>
    </w:rPr>
  </w:style>
  <w:style w:type="paragraph" w:customStyle="1" w:styleId="HeadingProcedure">
    <w:name w:val="Heading Procedure"/>
    <w:basedOn w:val="HeadingBase"/>
    <w:next w:val="Normal"/>
    <w:rsid w:val="00E50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4DC"/>
    <w:pPr>
      <w:spacing w:before="60" w:after="60"/>
    </w:pPr>
  </w:style>
  <w:style w:type="paragraph" w:styleId="ListContinue">
    <w:name w:val="List Continue"/>
    <w:basedOn w:val="List"/>
    <w:rsid w:val="00E504DC"/>
    <w:pPr>
      <w:ind w:firstLine="0"/>
    </w:pPr>
  </w:style>
  <w:style w:type="paragraph" w:customStyle="1" w:styleId="ListNote">
    <w:name w:val="List Note"/>
    <w:basedOn w:val="List"/>
    <w:rsid w:val="00E50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4DC"/>
    <w:rPr>
      <w:rFonts w:ascii="Courier New" w:hAnsi="Courier New"/>
    </w:rPr>
  </w:style>
  <w:style w:type="paragraph" w:customStyle="1" w:styleId="NoteBullet">
    <w:name w:val="Note Bullet"/>
    <w:basedOn w:val="Note"/>
    <w:rsid w:val="00E50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4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4DC"/>
    <w:rPr>
      <w:b/>
      <w:smallCaps/>
    </w:rPr>
  </w:style>
  <w:style w:type="paragraph" w:customStyle="1" w:styleId="TableListNumber">
    <w:name w:val="Table List Number"/>
    <w:basedOn w:val="ListNumber"/>
    <w:rsid w:val="00E50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4DC"/>
    <w:pPr>
      <w:numPr>
        <w:numId w:val="9"/>
      </w:numPr>
    </w:pPr>
  </w:style>
  <w:style w:type="paragraph" w:customStyle="1" w:styleId="ListAlpha2">
    <w:name w:val="List Alpha 2"/>
    <w:basedOn w:val="List2"/>
    <w:rsid w:val="00E504DC"/>
    <w:pPr>
      <w:numPr>
        <w:numId w:val="8"/>
      </w:numPr>
    </w:pPr>
  </w:style>
  <w:style w:type="paragraph" w:styleId="List2">
    <w:name w:val="List 2"/>
    <w:basedOn w:val="BodyText"/>
    <w:rsid w:val="00E50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4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4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4DC"/>
    <w:pPr>
      <w:numPr>
        <w:numId w:val="4"/>
      </w:numPr>
    </w:pPr>
  </w:style>
  <w:style w:type="paragraph" w:styleId="ListContinue2">
    <w:name w:val="List Continue 2"/>
    <w:basedOn w:val="List2"/>
    <w:rsid w:val="00E504DC"/>
    <w:pPr>
      <w:ind w:firstLine="0"/>
    </w:pPr>
  </w:style>
  <w:style w:type="paragraph" w:styleId="ListContinue3">
    <w:name w:val="List Continue 3"/>
    <w:basedOn w:val="List3"/>
    <w:rsid w:val="00E504DC"/>
    <w:pPr>
      <w:ind w:left="1021" w:firstLine="0"/>
    </w:pPr>
  </w:style>
  <w:style w:type="paragraph" w:styleId="ListContinue4">
    <w:name w:val="List Continue 4"/>
    <w:basedOn w:val="List4"/>
    <w:rsid w:val="00E504DC"/>
    <w:pPr>
      <w:ind w:firstLine="0"/>
    </w:pPr>
  </w:style>
  <w:style w:type="paragraph" w:styleId="ListContinue5">
    <w:name w:val="List Continue 5"/>
    <w:basedOn w:val="List5"/>
    <w:rsid w:val="00E504DC"/>
    <w:pPr>
      <w:ind w:firstLine="0"/>
    </w:pPr>
  </w:style>
  <w:style w:type="paragraph" w:styleId="ListNumber3">
    <w:name w:val="List Number 3"/>
    <w:basedOn w:val="List3"/>
    <w:rsid w:val="00E504DC"/>
    <w:pPr>
      <w:numPr>
        <w:numId w:val="5"/>
      </w:numPr>
    </w:pPr>
  </w:style>
  <w:style w:type="paragraph" w:styleId="ListNumber4">
    <w:name w:val="List Number 4"/>
    <w:basedOn w:val="List4"/>
    <w:rsid w:val="00E504DC"/>
    <w:pPr>
      <w:numPr>
        <w:numId w:val="6"/>
      </w:numPr>
    </w:pPr>
  </w:style>
  <w:style w:type="paragraph" w:styleId="ListNumber5">
    <w:name w:val="List Number 5"/>
    <w:basedOn w:val="List5"/>
    <w:rsid w:val="00E504DC"/>
    <w:pPr>
      <w:numPr>
        <w:numId w:val="7"/>
      </w:numPr>
    </w:pPr>
  </w:style>
  <w:style w:type="paragraph" w:styleId="BlockText">
    <w:name w:val="Block Text"/>
    <w:basedOn w:val="Normal"/>
    <w:rsid w:val="00E50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4DC"/>
    <w:rPr>
      <w:sz w:val="16"/>
      <w:vertAlign w:val="superscript"/>
    </w:rPr>
  </w:style>
  <w:style w:type="character" w:customStyle="1" w:styleId="Symbols">
    <w:name w:val="Symbols"/>
    <w:basedOn w:val="DefaultParagraphFont"/>
    <w:rsid w:val="00E504DC"/>
    <w:rPr>
      <w:rFonts w:ascii="Symbol" w:hAnsi="Symbol"/>
    </w:rPr>
  </w:style>
  <w:style w:type="character" w:customStyle="1" w:styleId="MenuOptions">
    <w:name w:val="Menu Options"/>
    <w:basedOn w:val="DefaultParagraphFont"/>
    <w:rsid w:val="00E50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4DC"/>
    <w:rPr>
      <w:b/>
    </w:rPr>
  </w:style>
  <w:style w:type="character" w:customStyle="1" w:styleId="Underlined">
    <w:name w:val="Underlined"/>
    <w:basedOn w:val="DefaultParagraphFont"/>
    <w:rsid w:val="00E504DC"/>
    <w:rPr>
      <w:u w:val="single"/>
    </w:rPr>
  </w:style>
  <w:style w:type="paragraph" w:customStyle="1" w:styleId="TableBodyTextRight">
    <w:name w:val="Table Body Text Right"/>
    <w:basedOn w:val="TableBodyText"/>
    <w:rsid w:val="00E50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4DC"/>
    <w:rPr>
      <w:sz w:val="18"/>
    </w:rPr>
  </w:style>
  <w:style w:type="paragraph" w:customStyle="1" w:styleId="BodySmallRight">
    <w:name w:val="Body Small Right"/>
    <w:basedOn w:val="BodyTextRight"/>
    <w:rsid w:val="00E504DC"/>
    <w:rPr>
      <w:sz w:val="18"/>
      <w:szCs w:val="18"/>
    </w:rPr>
  </w:style>
  <w:style w:type="paragraph" w:customStyle="1" w:styleId="MarginEdition">
    <w:name w:val="Margin Edition"/>
    <w:basedOn w:val="MarginNote"/>
    <w:rsid w:val="00E50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4DC"/>
    <w:rPr>
      <w:sz w:val="2"/>
      <w:szCs w:val="2"/>
    </w:rPr>
  </w:style>
  <w:style w:type="character" w:customStyle="1" w:styleId="Small">
    <w:name w:val="Small"/>
    <w:basedOn w:val="DefaultParagraphFont"/>
    <w:rsid w:val="00E504DC"/>
    <w:rPr>
      <w:sz w:val="16"/>
    </w:rPr>
  </w:style>
  <w:style w:type="paragraph" w:customStyle="1" w:styleId="WideTable">
    <w:name w:val="Wide Table"/>
    <w:basedOn w:val="Normal"/>
    <w:rsid w:val="00E50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4DC"/>
  </w:style>
  <w:style w:type="paragraph" w:styleId="Quote">
    <w:name w:val="Quote"/>
    <w:basedOn w:val="Heading1"/>
    <w:link w:val="QuoteChar"/>
    <w:qFormat/>
    <w:rsid w:val="00E50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4DC"/>
    <w:pPr>
      <w:pageBreakBefore/>
    </w:pPr>
  </w:style>
  <w:style w:type="paragraph" w:customStyle="1" w:styleId="Border">
    <w:name w:val="Border"/>
    <w:basedOn w:val="Normal"/>
    <w:qFormat/>
    <w:rsid w:val="00E50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4DC"/>
    <w:rPr>
      <w:u w:val="single"/>
    </w:rPr>
  </w:style>
  <w:style w:type="character" w:customStyle="1" w:styleId="BoldandItalics">
    <w:name w:val="Bold and Italics"/>
    <w:qFormat/>
    <w:rsid w:val="00E504DC"/>
    <w:rPr>
      <w:b/>
      <w:i/>
      <w:u w:val="none"/>
    </w:rPr>
  </w:style>
  <w:style w:type="paragraph" w:styleId="BalloonText">
    <w:name w:val="Balloon Text"/>
    <w:basedOn w:val="Normal"/>
    <w:link w:val="BalloonTextChar"/>
    <w:rsid w:val="00E50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4DC"/>
    <w:pPr>
      <w:spacing w:before="0" w:after="0"/>
    </w:pPr>
  </w:style>
  <w:style w:type="paragraph" w:customStyle="1" w:styleId="BodyTextBold">
    <w:name w:val="Body Text Bold"/>
    <w:basedOn w:val="BodyText"/>
    <w:qFormat/>
    <w:rsid w:val="00E504DC"/>
    <w:rPr>
      <w:b/>
    </w:rPr>
  </w:style>
  <w:style w:type="character" w:styleId="Hyperlink">
    <w:name w:val="Hyperlink"/>
    <w:basedOn w:val="DefaultParagraphFont"/>
    <w:uiPriority w:val="99"/>
    <w:unhideWhenUsed/>
    <w:rsid w:val="00840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4026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MEM23138 Evaluate suitability of materials for engineering-related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