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DB9" w:rsidP="00506D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MEM23137 Evaluate rolling tools and processes</w:t>
      </w:r>
      <w:r>
        <w:fldChar w:fldCharType="end"/>
      </w:r>
    </w:p>
    <w:p w:rsidR="00506DB9" w:rsidP="00506DB9">
      <w:pPr>
        <w:pStyle w:val="Version"/>
        <w:sectPr w:rsidSect="008828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827" w:rsidP="00882827">
      <w:pPr>
        <w:pStyle w:val="SuperHeading"/>
      </w:pPr>
      <w:r w:rsidRPr="00882827">
        <w:t>MEM23137 Evaluate rolling tools and processes</w:t>
      </w:r>
    </w:p>
    <w:p w:rsidR="00000000" w:rsidRPr="00882827" w:rsidP="00882827">
      <w:pPr>
        <w:pStyle w:val="Heading1"/>
      </w:pPr>
      <w:bookmarkStart w:id="1" w:name="O_944418"/>
      <w:bookmarkEnd w:id="1"/>
      <w:r w:rsidRPr="00882827">
        <w:t>Modification History</w:t>
      </w:r>
    </w:p>
    <w:p w:rsidR="00506DB9" w:rsidP="00506DB9">
      <w:pPr>
        <w:pStyle w:val="BodyText"/>
      </w:pPr>
      <w:r w:rsidRPr="00882827">
        <w:t>Release 1. Supersedes and is equivalent to MEM23137A Evaluate rolling tools and processes.</w:t>
      </w:r>
    </w:p>
    <w:p w:rsidR="00000000" w:rsidRPr="00882827" w:rsidP="00882827">
      <w:pPr>
        <w:pStyle w:val="Heading1"/>
      </w:pPr>
      <w:bookmarkStart w:id="2" w:name="O_944426"/>
      <w:bookmarkEnd w:id="2"/>
      <w:r w:rsidRPr="00882827">
        <w:t>Application</w:t>
      </w:r>
    </w:p>
    <w:p w:rsidR="00000000" w:rsidRPr="00882827" w:rsidP="00506DB9">
      <w:pPr>
        <w:pStyle w:val="BodyText"/>
      </w:pPr>
      <w:r w:rsidRPr="00882827">
        <w:t>This unit of competency defines the skills and knowledge required to evaluate hot and cold rolling tools f</w:t>
      </w:r>
      <w:r w:rsidRPr="00882827">
        <w:t>or structural profiles and roll forming of sheet and strip metal and includes consideration of roll design criteria, materials properties and product features, work health and safety (WHS) and sustainability implications.</w:t>
      </w:r>
    </w:p>
    <w:p w:rsidR="00000000" w:rsidRPr="00882827" w:rsidP="00506DB9">
      <w:pPr>
        <w:pStyle w:val="BodyText"/>
      </w:pPr>
      <w:r w:rsidRPr="00882827">
        <w:t xml:space="preserve">It is suitable for people working </w:t>
      </w:r>
      <w:r w:rsidRPr="00882827">
        <w:t>as tool designers and maintenance technicians or paraprofessionals and draftspersons, and for those pursuing manufacturing engineering or related technical qualifications and careers.</w:t>
      </w:r>
    </w:p>
    <w:p w:rsidR="00506DB9" w:rsidP="00506DB9">
      <w:pPr>
        <w:pStyle w:val="BodyText"/>
      </w:pPr>
      <w:r w:rsidRPr="00882827">
        <w:t>No licensing, legislative or certification requirements apply to this un</w:t>
      </w:r>
      <w:r w:rsidRPr="00882827">
        <w:t>it at the time of publication.</w:t>
      </w:r>
    </w:p>
    <w:p w:rsidR="00000000" w:rsidRPr="00882827" w:rsidP="00882827">
      <w:pPr>
        <w:pStyle w:val="Heading1"/>
      </w:pPr>
      <w:bookmarkStart w:id="3" w:name="O_944425"/>
      <w:bookmarkEnd w:id="3"/>
      <w:r w:rsidRPr="00882827">
        <w:t>Pre-requisite Unit</w:t>
      </w:r>
    </w:p>
    <w:p w:rsidR="00000000" w:rsidRPr="00882827" w:rsidP="00506DB9">
      <w:pPr>
        <w:pStyle w:val="List"/>
      </w:pPr>
      <w:r w:rsidRPr="00882827">
        <w:t>MEM23004 Apply technical mathematics</w:t>
      </w:r>
    </w:p>
    <w:p w:rsidR="00506DB9" w:rsidP="00506DB9">
      <w:pPr>
        <w:pStyle w:val="List"/>
      </w:pPr>
      <w:r w:rsidRPr="00882827">
        <w:t>MEM23109 Apply engineering mechanics principles</w:t>
      </w:r>
    </w:p>
    <w:p w:rsidR="00506DB9" w:rsidP="00882827">
      <w:pPr>
        <w:pStyle w:val="BodyText"/>
      </w:pPr>
    </w:p>
    <w:p w:rsidR="00000000" w:rsidRPr="00882827" w:rsidP="00882827">
      <w:pPr>
        <w:pStyle w:val="Heading1"/>
      </w:pPr>
      <w:bookmarkStart w:id="4" w:name="O_944424"/>
      <w:bookmarkEnd w:id="4"/>
      <w:r w:rsidRPr="00882827">
        <w:t>Competency Field</w:t>
      </w:r>
    </w:p>
    <w:p w:rsidR="00506DB9" w:rsidP="00506DB9">
      <w:pPr>
        <w:pStyle w:val="BodyText"/>
      </w:pPr>
      <w:r w:rsidRPr="00882827">
        <w:t>Engineering science</w:t>
      </w:r>
    </w:p>
    <w:p w:rsidR="00000000" w:rsidRPr="00882827" w:rsidP="00882827">
      <w:pPr>
        <w:pStyle w:val="Heading1"/>
      </w:pPr>
      <w:bookmarkStart w:id="5" w:name="O_944422"/>
      <w:bookmarkEnd w:id="5"/>
      <w:r w:rsidRPr="00882827">
        <w:t>Elements and Performance Crite</w:t>
      </w:r>
      <w:r w:rsidRPr="00882827">
        <w:t>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06D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27" w:rsidP="00882827">
            <w:pPr>
              <w:pStyle w:val="BodyText"/>
            </w:pPr>
            <w:r w:rsidRPr="00882827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7">
            <w:pPr>
              <w:pStyle w:val="BodyText"/>
              <w:rPr>
                <w:lang w:val="en-NZ"/>
              </w:rPr>
            </w:pPr>
            <w:r w:rsidRPr="00882827">
              <w:rPr>
                <w:rStyle w:val="SpecialBold"/>
              </w:rPr>
              <w:t>Performance Criteria</w:t>
            </w:r>
          </w:p>
        </w:tc>
      </w:tr>
      <w:tr w:rsidTr="00506D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27" w:rsidP="00882827">
            <w:pPr>
              <w:pStyle w:val="BodyText"/>
            </w:pPr>
            <w:r w:rsidRPr="00882827">
              <w:rPr>
                <w:rStyle w:val="Emphasis"/>
              </w:rPr>
              <w:t xml:space="preserve">Elements describe the </w:t>
            </w:r>
            <w:r w:rsidRPr="00882827">
              <w:t xml:space="preserve">essential </w:t>
            </w:r>
            <w:r w:rsidRPr="00882827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7">
            <w:pPr>
              <w:pStyle w:val="BodyText"/>
              <w:rPr>
                <w:lang w:val="en-NZ"/>
              </w:rPr>
            </w:pPr>
            <w:r w:rsidRPr="008828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6D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7">
            <w:pPr>
              <w:pStyle w:val="BodyText"/>
              <w:rPr>
                <w:lang w:val="en-NZ"/>
              </w:rPr>
            </w:pPr>
            <w:r w:rsidRPr="00882827">
              <w:t>1. Determine scope of rolling tool evaluation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27" w:rsidP="00882827">
            <w:pPr>
              <w:pStyle w:val="BodyText"/>
            </w:pPr>
            <w:r w:rsidRPr="00882827">
              <w:t>1.1 Identify rolling tools and related rolling products for evaluation</w:t>
            </w:r>
          </w:p>
          <w:p w:rsidR="00000000" w:rsidRPr="00882827" w:rsidP="00882827">
            <w:pPr>
              <w:pStyle w:val="BodyText"/>
            </w:pPr>
            <w:r w:rsidRPr="00882827">
              <w:t>1.2 Confirm stakeholders to be consulted on evaluation</w:t>
            </w:r>
          </w:p>
          <w:p w:rsidR="00000000" w:rsidRPr="00882827" w:rsidP="00882827">
            <w:pPr>
              <w:pStyle w:val="BodyText"/>
            </w:pPr>
            <w:r w:rsidRPr="00882827">
              <w:t>1.3 Confirm that appropriate support, including technical and professional assistance, is available</w:t>
            </w:r>
          </w:p>
          <w:p w:rsidR="00000000" w:rsidP="00882827">
            <w:pPr>
              <w:pStyle w:val="BodyText"/>
              <w:rPr>
                <w:lang w:val="en-NZ"/>
              </w:rPr>
            </w:pPr>
            <w:r w:rsidRPr="00882827">
              <w:t xml:space="preserve">1.4 Identify relevant WHS and </w:t>
            </w:r>
            <w:r w:rsidRPr="00882827">
              <w:t>regulatory requirements, standards, codes of practice, risk management and organisational procedures</w:t>
            </w:r>
          </w:p>
        </w:tc>
      </w:tr>
      <w:tr w:rsidTr="00506D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7">
            <w:pPr>
              <w:pStyle w:val="BodyText"/>
              <w:rPr>
                <w:lang w:val="en-NZ"/>
              </w:rPr>
            </w:pPr>
            <w:r w:rsidRPr="00882827">
              <w:t>2. Prepare for evaluation of rolling tools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27" w:rsidP="00882827">
            <w:pPr>
              <w:pStyle w:val="BodyText"/>
            </w:pPr>
            <w:r w:rsidRPr="00882827">
              <w:t>2.1 Identify principles and techniques required to evaluate and optimise rollin</w:t>
            </w:r>
            <w:r w:rsidRPr="00882827">
              <w:t>g tools and related manufacturing processes</w:t>
            </w:r>
          </w:p>
          <w:p w:rsidR="00000000" w:rsidRPr="00882827" w:rsidP="00882827">
            <w:pPr>
              <w:pStyle w:val="BodyText"/>
            </w:pPr>
            <w:r w:rsidRPr="00882827">
              <w:t>2.2 Select appropriate analysis techniques, software and software validation techniques</w:t>
            </w:r>
          </w:p>
          <w:p w:rsidR="00000000" w:rsidP="00882827">
            <w:pPr>
              <w:pStyle w:val="BodyText"/>
              <w:rPr>
                <w:lang w:val="en-NZ"/>
              </w:rPr>
            </w:pPr>
            <w:r w:rsidRPr="00882827">
              <w:t>2.3 Investigate sustainability implications of roll tooling and related manufacturing processes</w:t>
            </w:r>
          </w:p>
        </w:tc>
      </w:tr>
      <w:tr w:rsidTr="00506D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7">
            <w:pPr>
              <w:pStyle w:val="BodyText"/>
              <w:rPr>
                <w:lang w:val="en-NZ"/>
              </w:rPr>
            </w:pPr>
            <w:r w:rsidRPr="00882827">
              <w:t>3. Evaluate rolling tools a</w:t>
            </w:r>
            <w:r w:rsidRPr="00882827">
              <w:t>nd related manufacturing processes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27" w:rsidP="00882827">
            <w:pPr>
              <w:pStyle w:val="BodyText"/>
            </w:pPr>
            <w:r w:rsidRPr="00882827">
              <w:t>3.1 Review design and construction features and functions of rolling tools and related manufacturing processes</w:t>
            </w:r>
          </w:p>
          <w:p w:rsidR="00000000" w:rsidRPr="00882827" w:rsidP="00882827">
            <w:pPr>
              <w:pStyle w:val="BodyText"/>
            </w:pPr>
            <w:r w:rsidRPr="00882827">
              <w:t xml:space="preserve">3.2 Assess rolling tools and related manufacturing processes for compliance with WHS and other regulatory and </w:t>
            </w:r>
            <w:r w:rsidRPr="00882827">
              <w:t>risk management requirements</w:t>
            </w:r>
          </w:p>
          <w:p w:rsidR="00000000" w:rsidRPr="00882827" w:rsidP="00882827">
            <w:pPr>
              <w:pStyle w:val="BodyText"/>
            </w:pPr>
            <w:r w:rsidRPr="00882827">
              <w:t>3.3 Assess rolling tools, roll products and related processes for sustainability</w:t>
            </w:r>
          </w:p>
          <w:p w:rsidR="00000000" w:rsidRPr="00882827" w:rsidP="00882827">
            <w:pPr>
              <w:pStyle w:val="BodyText"/>
            </w:pPr>
            <w:r w:rsidRPr="00882827">
              <w:t>3.4 Assess suitability of rolling tools for integration with quick changeover, preventative maintenance and other lean manufacturing-related techn</w:t>
            </w:r>
            <w:r w:rsidRPr="00882827">
              <w:t>iques</w:t>
            </w:r>
          </w:p>
          <w:p w:rsidR="00000000" w:rsidRPr="00882827" w:rsidP="00882827">
            <w:pPr>
              <w:pStyle w:val="BodyText"/>
            </w:pPr>
            <w:r w:rsidRPr="00882827">
              <w:t>3.5 Review integration of rolling tools with production management and control software</w:t>
            </w:r>
          </w:p>
          <w:p w:rsidR="00000000" w:rsidRPr="00882827" w:rsidP="00882827">
            <w:pPr>
              <w:pStyle w:val="BodyText"/>
            </w:pPr>
            <w:r w:rsidRPr="00882827">
              <w:t>3.6 Apply systems thinking, continuous improvement, problem-solving and decision- making, and constraint and contingency management principles and techniques to e</w:t>
            </w:r>
            <w:r w:rsidRPr="00882827">
              <w:t>valuation</w:t>
            </w:r>
          </w:p>
          <w:p w:rsidR="00000000" w:rsidP="00882827">
            <w:pPr>
              <w:pStyle w:val="BodyText"/>
              <w:rPr>
                <w:lang w:val="en-NZ"/>
              </w:rPr>
            </w:pPr>
            <w:r w:rsidRPr="00882827">
              <w:t>3.7 Review rolling tools in relation to product manufacturability and process maintainability</w:t>
            </w:r>
          </w:p>
        </w:tc>
      </w:tr>
      <w:tr w:rsidTr="00506D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7">
            <w:pPr>
              <w:pStyle w:val="BodyText"/>
              <w:rPr>
                <w:lang w:val="en-NZ"/>
              </w:rPr>
            </w:pPr>
            <w:r w:rsidRPr="00882827">
              <w:t>4. Report results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27" w:rsidP="00882827">
            <w:pPr>
              <w:pStyle w:val="BodyText"/>
            </w:pPr>
            <w:r w:rsidRPr="00882827">
              <w:t>4.1 Record results of evaluation</w:t>
            </w:r>
          </w:p>
          <w:p w:rsidR="00000000" w:rsidRPr="00882827" w:rsidP="00882827">
            <w:pPr>
              <w:pStyle w:val="BodyText"/>
            </w:pPr>
            <w:r w:rsidRPr="00882827">
              <w:t>4.2 Provide documentation including tool, product and process analysis, and computer-aided design (C</w:t>
            </w:r>
            <w:r w:rsidRPr="00882827">
              <w:t>AD) files</w:t>
            </w:r>
          </w:p>
        </w:tc>
      </w:tr>
    </w:tbl>
    <w:p w:rsidR="00506DB9" w:rsidP="00882827">
      <w:pPr>
        <w:pStyle w:val="BodyText"/>
      </w:pPr>
    </w:p>
    <w:p w:rsidR="00506DB9" w:rsidP="00882827">
      <w:pPr>
        <w:pStyle w:val="BodyText"/>
      </w:pPr>
    </w:p>
    <w:p w:rsidR="00000000" w:rsidRPr="00882827" w:rsidP="00882827">
      <w:pPr>
        <w:pStyle w:val="Heading1"/>
      </w:pPr>
      <w:bookmarkStart w:id="6" w:name="O_944421"/>
      <w:bookmarkEnd w:id="6"/>
      <w:r w:rsidRPr="00882827">
        <w:t>Foundation Skills</w:t>
      </w:r>
    </w:p>
    <w:p w:rsidR="00000000" w:rsidRPr="00882827" w:rsidP="00506DB9">
      <w:pPr>
        <w:pStyle w:val="BodyText"/>
      </w:pPr>
      <w:r w:rsidRPr="00882827">
        <w:t>This section describes those language, literacy, numeracy and employment skills that are essential to performance.</w:t>
      </w:r>
    </w:p>
    <w:p w:rsidR="00506DB9" w:rsidP="00506DB9">
      <w:pPr>
        <w:pStyle w:val="BodyText"/>
      </w:pPr>
      <w:r w:rsidRPr="00882827">
        <w:t>Foundation skills essential to performance are explicit in the</w:t>
      </w:r>
      <w:r w:rsidRPr="00882827">
        <w:t xml:space="preserve"> performance criteria of this unit of competency.</w:t>
      </w:r>
    </w:p>
    <w:p w:rsidR="00000000" w:rsidRPr="00882827" w:rsidP="00882827">
      <w:pPr>
        <w:pStyle w:val="Heading1"/>
      </w:pPr>
      <w:bookmarkStart w:id="7" w:name="O_944420"/>
      <w:bookmarkEnd w:id="7"/>
      <w:r w:rsidRPr="00882827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8282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7">
            <w:pPr>
              <w:pStyle w:val="BodyText"/>
              <w:rPr>
                <w:lang w:val="en-NZ"/>
              </w:rPr>
            </w:pPr>
            <w:r w:rsidRPr="00882827">
              <w:t xml:space="preserve">This field allows for different work environments and conditions that may affect performance. Essential operating conditions that may be present (depending on the work </w:t>
            </w:r>
            <w:r w:rsidRPr="00882827">
              <w:t>situation, needs of the candidate, accessibility of the item, and local industry and regional contexts) are included.</w:t>
            </w:r>
          </w:p>
        </w:tc>
      </w:tr>
      <w:tr w:rsidTr="0088282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7">
            <w:pPr>
              <w:pStyle w:val="BodyText"/>
              <w:rPr>
                <w:lang w:val="en-NZ"/>
              </w:rPr>
            </w:pPr>
            <w:r w:rsidRPr="00882827">
              <w:t>Appropriate technical and professional assistance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27" w:rsidP="00882827">
            <w:pPr>
              <w:pStyle w:val="ListBullet"/>
            </w:pPr>
            <w:r w:rsidRPr="00882827">
              <w:t>technical support and advice relating to elements which have intrinsic dang</w:t>
            </w:r>
            <w:r w:rsidRPr="00882827">
              <w:t>ers</w:t>
            </w:r>
          </w:p>
          <w:p w:rsidR="00000000" w:rsidP="00882827">
            <w:pPr>
              <w:pStyle w:val="ListBullet"/>
              <w:rPr>
                <w:lang w:val="en-NZ"/>
              </w:rPr>
            </w:pPr>
            <w:r w:rsidRPr="00882827">
              <w:t>professional support for technologies.</w:t>
            </w:r>
          </w:p>
        </w:tc>
      </w:tr>
      <w:tr w:rsidTr="0088282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7">
            <w:pPr>
              <w:pStyle w:val="BodyText"/>
              <w:rPr>
                <w:lang w:val="en-NZ"/>
              </w:rPr>
            </w:pPr>
            <w:r w:rsidRPr="00882827">
              <w:t>WHS, regulatory requirements and 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27" w:rsidP="00882827">
            <w:pPr>
              <w:pStyle w:val="ListBullet"/>
            </w:pPr>
            <w:r w:rsidRPr="00882827">
              <w:t>WHS acts, regulations and relevant standards</w:t>
            </w:r>
          </w:p>
          <w:p w:rsidR="00000000" w:rsidRPr="00882827" w:rsidP="00882827">
            <w:pPr>
              <w:pStyle w:val="ListBullet"/>
            </w:pPr>
            <w:r w:rsidRPr="00882827">
              <w:t xml:space="preserve">codes of </w:t>
            </w:r>
            <w:r w:rsidRPr="00882827">
              <w:t>practice from Australian and overseas engineering and technical associations and societies</w:t>
            </w:r>
          </w:p>
          <w:p w:rsidR="00000000" w:rsidRPr="00882827" w:rsidP="00882827">
            <w:pPr>
              <w:pStyle w:val="ListBullet"/>
            </w:pPr>
            <w:r w:rsidRPr="00882827">
              <w:t>risk assessments</w:t>
            </w:r>
          </w:p>
          <w:p w:rsidR="00000000" w:rsidRPr="00882827" w:rsidP="00882827">
            <w:pPr>
              <w:pStyle w:val="ListBullet"/>
            </w:pPr>
            <w:r w:rsidRPr="00882827">
              <w:t>registration requirements</w:t>
            </w:r>
          </w:p>
          <w:p w:rsidR="00000000" w:rsidRPr="00882827" w:rsidP="00882827">
            <w:pPr>
              <w:pStyle w:val="ListBullet"/>
            </w:pPr>
            <w:r w:rsidRPr="00882827">
              <w:t>safe work practices</w:t>
            </w:r>
          </w:p>
          <w:p w:rsidR="00000000" w:rsidP="00882827">
            <w:pPr>
              <w:pStyle w:val="ListBullet"/>
              <w:rPr>
                <w:lang w:val="en-NZ"/>
              </w:rPr>
            </w:pPr>
            <w:r w:rsidRPr="00882827">
              <w:t>state and territory regulatory requirements.</w:t>
            </w:r>
          </w:p>
        </w:tc>
      </w:tr>
      <w:tr w:rsidTr="0088282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7">
            <w:pPr>
              <w:pStyle w:val="BodyText"/>
              <w:rPr>
                <w:lang w:val="en-NZ"/>
              </w:rPr>
            </w:pPr>
            <w:r w:rsidRPr="00882827">
              <w:t>Sustainability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27" w:rsidP="00882827">
            <w:pPr>
              <w:pStyle w:val="ListBullet"/>
            </w:pPr>
            <w:r w:rsidRPr="00882827">
              <w:t>meeting all regulatory require</w:t>
            </w:r>
            <w:r w:rsidRPr="00882827">
              <w:t>ments</w:t>
            </w:r>
          </w:p>
          <w:p w:rsidR="00000000" w:rsidRPr="00882827" w:rsidP="00882827">
            <w:pPr>
              <w:pStyle w:val="ListBullet"/>
            </w:pPr>
            <w:r w:rsidRPr="00882827">
              <w:t>conforming to all industry covenants, protocols and best practice guides</w:t>
            </w:r>
          </w:p>
          <w:p w:rsidR="00000000" w:rsidRPr="00882827" w:rsidP="00882827">
            <w:pPr>
              <w:pStyle w:val="ListBullet"/>
            </w:pPr>
            <w:r w:rsidRPr="00882827">
              <w:t>minimising ecological and environmental footprint of process, plant and product</w:t>
            </w:r>
          </w:p>
          <w:p w:rsidR="00000000" w:rsidRPr="00882827" w:rsidP="00882827">
            <w:pPr>
              <w:pStyle w:val="ListBullet"/>
            </w:pPr>
            <w:r w:rsidRPr="00882827">
              <w:t xml:space="preserve">maximising economic benefit of process plant and product to the organisation and the community </w:t>
            </w:r>
          </w:p>
          <w:p w:rsidR="00000000" w:rsidP="00882827">
            <w:pPr>
              <w:pStyle w:val="ListBullet"/>
              <w:rPr>
                <w:lang w:val="en-NZ"/>
              </w:rPr>
            </w:pPr>
            <w:r w:rsidRPr="00882827">
              <w:t>m</w:t>
            </w:r>
            <w:r w:rsidRPr="00882827">
              <w:t>inimising the negative WHS impact on employees, community and customer.</w:t>
            </w:r>
          </w:p>
        </w:tc>
      </w:tr>
      <w:tr w:rsidTr="0088282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7">
            <w:pPr>
              <w:pStyle w:val="BodyText"/>
              <w:rPr>
                <w:lang w:val="en-NZ"/>
              </w:rPr>
            </w:pPr>
            <w:r w:rsidRPr="00882827">
              <w:t>Continuous improvement implementation includes one or more of the following techniques: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27" w:rsidP="00882827">
            <w:pPr>
              <w:pStyle w:val="ListBullet"/>
            </w:pPr>
            <w:r w:rsidRPr="00882827">
              <w:t>balanced scorecard</w:t>
            </w:r>
          </w:p>
          <w:p w:rsidR="00000000" w:rsidRPr="00882827" w:rsidP="00882827">
            <w:pPr>
              <w:pStyle w:val="ListBullet"/>
            </w:pPr>
            <w:r w:rsidRPr="00882827">
              <w:t>current and future state mapping</w:t>
            </w:r>
          </w:p>
          <w:p w:rsidR="00000000" w:rsidRPr="00882827" w:rsidP="00882827">
            <w:pPr>
              <w:pStyle w:val="ListBullet"/>
            </w:pPr>
            <w:r w:rsidRPr="00882827">
              <w:t>measuring performance against benchmarks</w:t>
            </w:r>
          </w:p>
          <w:p w:rsidR="00000000" w:rsidRPr="00882827" w:rsidP="00882827">
            <w:pPr>
              <w:pStyle w:val="ListBullet"/>
            </w:pPr>
            <w:r w:rsidRPr="00882827">
              <w:t>process improvement, problem solving and decision making</w:t>
            </w:r>
          </w:p>
          <w:p w:rsidR="00000000" w:rsidRPr="00882827" w:rsidP="00882827">
            <w:pPr>
              <w:pStyle w:val="ListBullet"/>
            </w:pPr>
            <w:r w:rsidRPr="00882827">
              <w:t>data management, generation, recording, analysing, storing and use of software</w:t>
            </w:r>
          </w:p>
          <w:p w:rsidR="00000000" w:rsidRPr="00882827" w:rsidP="00882827">
            <w:pPr>
              <w:pStyle w:val="ListBullet"/>
            </w:pPr>
            <w:r w:rsidRPr="00882827">
              <w:t>training for improvement systems participation</w:t>
            </w:r>
          </w:p>
          <w:p w:rsidR="00000000" w:rsidP="00882827">
            <w:pPr>
              <w:pStyle w:val="ListBullet"/>
              <w:rPr>
                <w:lang w:val="en-NZ"/>
              </w:rPr>
            </w:pPr>
            <w:r w:rsidRPr="00882827">
              <w:t>technical training.</w:t>
            </w:r>
          </w:p>
        </w:tc>
      </w:tr>
      <w:tr w:rsidTr="0088282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7">
            <w:pPr>
              <w:pStyle w:val="BodyText"/>
              <w:rPr>
                <w:lang w:val="en-NZ"/>
              </w:rPr>
            </w:pPr>
            <w:r w:rsidRPr="00882827">
              <w:t>Constraints and contingencies include one or more of</w:t>
            </w:r>
            <w:r w:rsidRPr="00882827">
              <w:t xml:space="preserve">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27" w:rsidP="00882827">
            <w:pPr>
              <w:pStyle w:val="ListBullet"/>
            </w:pPr>
            <w:r w:rsidRPr="00882827">
              <w:t>financial</w:t>
            </w:r>
          </w:p>
          <w:p w:rsidR="00000000" w:rsidRPr="00882827" w:rsidP="00882827">
            <w:pPr>
              <w:pStyle w:val="ListBullet"/>
            </w:pPr>
            <w:r w:rsidRPr="00882827">
              <w:t>organisational</w:t>
            </w:r>
          </w:p>
          <w:p w:rsidR="00000000" w:rsidRPr="00882827" w:rsidP="00882827">
            <w:pPr>
              <w:pStyle w:val="ListBullet"/>
            </w:pPr>
            <w:r w:rsidRPr="00882827">
              <w:t>procedural</w:t>
            </w:r>
          </w:p>
          <w:p w:rsidR="00000000" w:rsidRPr="00882827" w:rsidP="00882827">
            <w:pPr>
              <w:pStyle w:val="ListBullet"/>
            </w:pPr>
            <w:r w:rsidRPr="00882827">
              <w:t>cultural</w:t>
            </w:r>
          </w:p>
          <w:p w:rsidR="00000000" w:rsidRPr="00882827" w:rsidP="00882827">
            <w:pPr>
              <w:pStyle w:val="ListBullet"/>
            </w:pPr>
            <w:r w:rsidRPr="00882827">
              <w:t>physical (resource, access and logistical limitations).</w:t>
            </w:r>
          </w:p>
        </w:tc>
      </w:tr>
    </w:tbl>
    <w:p w:rsidR="00506DB9" w:rsidP="00882827">
      <w:pPr>
        <w:pStyle w:val="BodyText"/>
      </w:pPr>
    </w:p>
    <w:p w:rsidR="00506DB9" w:rsidP="00882827">
      <w:pPr>
        <w:pStyle w:val="BodyText"/>
      </w:pPr>
    </w:p>
    <w:p w:rsidR="00000000" w:rsidRPr="00882827" w:rsidP="00882827">
      <w:pPr>
        <w:pStyle w:val="Heading1"/>
      </w:pPr>
      <w:bookmarkStart w:id="8" w:name="O_944419"/>
      <w:bookmarkEnd w:id="8"/>
      <w:r w:rsidRPr="00882827">
        <w:t>Unit Mapping Information</w:t>
      </w:r>
    </w:p>
    <w:p w:rsidR="00506DB9" w:rsidP="00506DB9">
      <w:pPr>
        <w:pStyle w:val="BodyText"/>
      </w:pPr>
      <w:r w:rsidRPr="00882827">
        <w:t>Release 1. Supersedes and is equivalent to MEM23137A Evaluate rolling tools and processes.</w:t>
      </w:r>
    </w:p>
    <w:p w:rsidR="00000000" w:rsidRPr="00882827" w:rsidP="00882827">
      <w:pPr>
        <w:pStyle w:val="Heading1"/>
      </w:pPr>
      <w:bookmarkStart w:id="9" w:name="O_944412"/>
      <w:bookmarkEnd w:id="9"/>
      <w:r w:rsidRPr="00882827">
        <w:t>Links</w:t>
      </w:r>
    </w:p>
    <w:p w:rsidR="00000000" w:rsidRPr="00882827" w:rsidP="00506DB9">
      <w:pPr>
        <w:pStyle w:val="BodyText"/>
      </w:pPr>
      <w:r w:rsidRPr="00882827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501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82827" w:rsidP="00882827"/>
    <w:sectPr w:rsidSect="008828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27" w:rsidRPr="00506DB9" w:rsidP="00506D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DB9" w:rsidP="008828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DB9" w:rsidP="008828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6DB9" w:rsidP="008828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D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827" w:rsidRPr="00506DB9" w:rsidP="00506D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DB9" w:rsidRPr="002D2AF8" w:rsidP="008828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MEM23137 Evaluate rolling tools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06DB9" w:rsidP="008828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3CE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86F0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8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8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8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8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8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8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8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8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8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8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8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827"/>
  </w:style>
  <w:style w:type="character" w:customStyle="1" w:styleId="Heading1Char">
    <w:name w:val="Heading 1 Char"/>
    <w:basedOn w:val="DefaultParagraphFont"/>
    <w:link w:val="Heading1"/>
    <w:rsid w:val="008828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8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8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8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827"/>
    <w:rPr>
      <w:b/>
      <w:spacing w:val="0"/>
    </w:rPr>
  </w:style>
  <w:style w:type="character" w:styleId="Emphasis">
    <w:name w:val="Emphasis"/>
    <w:basedOn w:val="DefaultParagraphFont"/>
    <w:qFormat/>
    <w:rsid w:val="00882827"/>
    <w:rPr>
      <w:i/>
    </w:rPr>
  </w:style>
  <w:style w:type="paragraph" w:customStyle="1" w:styleId="SuperHeading">
    <w:name w:val="SuperHeading"/>
    <w:basedOn w:val="Normal"/>
    <w:rsid w:val="008828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8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8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8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8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8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8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8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8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8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8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8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8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8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8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8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8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8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8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8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8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28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28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8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8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8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8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8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8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8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8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28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8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8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827"/>
  </w:style>
  <w:style w:type="paragraph" w:styleId="TableofFigures">
    <w:name w:val="table of figures"/>
    <w:basedOn w:val="Normal"/>
    <w:next w:val="Normal"/>
    <w:semiHidden/>
    <w:rsid w:val="008828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8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2827"/>
    <w:rPr>
      <w:rFonts w:ascii="Wingdings" w:hAnsi="Wingdings"/>
    </w:rPr>
  </w:style>
  <w:style w:type="paragraph" w:customStyle="1" w:styleId="TableHeading">
    <w:name w:val="Table Heading"/>
    <w:basedOn w:val="HeadingBase"/>
    <w:rsid w:val="008828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827"/>
    <w:rPr>
      <w:color w:val="0033CC"/>
      <w:u w:val="none"/>
    </w:rPr>
  </w:style>
  <w:style w:type="paragraph" w:customStyle="1" w:styleId="BodyTextRight">
    <w:name w:val="Body Text Right"/>
    <w:basedOn w:val="BodyText"/>
    <w:rsid w:val="008828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8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8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8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8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8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827"/>
    <w:rPr>
      <w:sz w:val="32"/>
    </w:rPr>
  </w:style>
  <w:style w:type="paragraph" w:customStyle="1" w:styleId="HeadingProcedure">
    <w:name w:val="Heading Procedure"/>
    <w:basedOn w:val="HeadingBase"/>
    <w:next w:val="Normal"/>
    <w:rsid w:val="008828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827"/>
    <w:pPr>
      <w:spacing w:before="60" w:after="60"/>
    </w:pPr>
  </w:style>
  <w:style w:type="paragraph" w:styleId="ListContinue">
    <w:name w:val="List Continue"/>
    <w:basedOn w:val="List"/>
    <w:rsid w:val="00882827"/>
    <w:pPr>
      <w:ind w:firstLine="0"/>
    </w:pPr>
  </w:style>
  <w:style w:type="paragraph" w:customStyle="1" w:styleId="ListNote">
    <w:name w:val="List Note"/>
    <w:basedOn w:val="List"/>
    <w:rsid w:val="008828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8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8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827"/>
    <w:rPr>
      <w:rFonts w:ascii="Courier New" w:hAnsi="Courier New"/>
    </w:rPr>
  </w:style>
  <w:style w:type="paragraph" w:customStyle="1" w:styleId="NoteBullet">
    <w:name w:val="Note Bullet"/>
    <w:basedOn w:val="Note"/>
    <w:rsid w:val="008828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8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8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8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8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28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8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827"/>
    <w:rPr>
      <w:b/>
      <w:smallCaps/>
    </w:rPr>
  </w:style>
  <w:style w:type="paragraph" w:customStyle="1" w:styleId="TableListNumber">
    <w:name w:val="Table List Number"/>
    <w:basedOn w:val="ListNumber"/>
    <w:rsid w:val="008828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8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827"/>
    <w:pPr>
      <w:numPr>
        <w:numId w:val="8"/>
      </w:numPr>
    </w:pPr>
  </w:style>
  <w:style w:type="paragraph" w:customStyle="1" w:styleId="ListAlpha2">
    <w:name w:val="List Alpha 2"/>
    <w:basedOn w:val="List2"/>
    <w:rsid w:val="00882827"/>
    <w:pPr>
      <w:numPr>
        <w:numId w:val="7"/>
      </w:numPr>
    </w:pPr>
  </w:style>
  <w:style w:type="paragraph" w:styleId="List2">
    <w:name w:val="List 2"/>
    <w:basedOn w:val="BodyText"/>
    <w:rsid w:val="008828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8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8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8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8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8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2827"/>
    <w:pPr>
      <w:numPr>
        <w:numId w:val="3"/>
      </w:numPr>
    </w:pPr>
  </w:style>
  <w:style w:type="paragraph" w:styleId="ListContinue2">
    <w:name w:val="List Continue 2"/>
    <w:basedOn w:val="List2"/>
    <w:rsid w:val="00882827"/>
    <w:pPr>
      <w:ind w:firstLine="0"/>
    </w:pPr>
  </w:style>
  <w:style w:type="paragraph" w:styleId="ListContinue3">
    <w:name w:val="List Continue 3"/>
    <w:basedOn w:val="List3"/>
    <w:rsid w:val="00882827"/>
    <w:pPr>
      <w:ind w:left="1021" w:firstLine="0"/>
    </w:pPr>
  </w:style>
  <w:style w:type="paragraph" w:styleId="ListContinue4">
    <w:name w:val="List Continue 4"/>
    <w:basedOn w:val="List4"/>
    <w:rsid w:val="00882827"/>
    <w:pPr>
      <w:ind w:firstLine="0"/>
    </w:pPr>
  </w:style>
  <w:style w:type="paragraph" w:styleId="ListContinue5">
    <w:name w:val="List Continue 5"/>
    <w:basedOn w:val="List5"/>
    <w:rsid w:val="00882827"/>
    <w:pPr>
      <w:ind w:firstLine="0"/>
    </w:pPr>
  </w:style>
  <w:style w:type="paragraph" w:styleId="ListNumber3">
    <w:name w:val="List Number 3"/>
    <w:basedOn w:val="List3"/>
    <w:rsid w:val="00882827"/>
    <w:pPr>
      <w:numPr>
        <w:numId w:val="4"/>
      </w:numPr>
    </w:pPr>
  </w:style>
  <w:style w:type="paragraph" w:styleId="ListNumber4">
    <w:name w:val="List Number 4"/>
    <w:basedOn w:val="List4"/>
    <w:rsid w:val="00882827"/>
    <w:pPr>
      <w:numPr>
        <w:numId w:val="5"/>
      </w:numPr>
    </w:pPr>
  </w:style>
  <w:style w:type="paragraph" w:styleId="ListNumber5">
    <w:name w:val="List Number 5"/>
    <w:basedOn w:val="List5"/>
    <w:rsid w:val="00882827"/>
    <w:pPr>
      <w:numPr>
        <w:numId w:val="6"/>
      </w:numPr>
    </w:pPr>
  </w:style>
  <w:style w:type="paragraph" w:styleId="BlockText">
    <w:name w:val="Block Text"/>
    <w:basedOn w:val="Normal"/>
    <w:rsid w:val="008828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8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827"/>
    <w:rPr>
      <w:sz w:val="16"/>
      <w:vertAlign w:val="superscript"/>
    </w:rPr>
  </w:style>
  <w:style w:type="character" w:customStyle="1" w:styleId="Symbols">
    <w:name w:val="Symbols"/>
    <w:basedOn w:val="DefaultParagraphFont"/>
    <w:rsid w:val="00882827"/>
    <w:rPr>
      <w:rFonts w:ascii="Symbol" w:hAnsi="Symbol"/>
    </w:rPr>
  </w:style>
  <w:style w:type="character" w:customStyle="1" w:styleId="MenuOptions">
    <w:name w:val="Menu Options"/>
    <w:basedOn w:val="DefaultParagraphFont"/>
    <w:rsid w:val="008828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827"/>
    <w:rPr>
      <w:b/>
    </w:rPr>
  </w:style>
  <w:style w:type="character" w:customStyle="1" w:styleId="Underlined">
    <w:name w:val="Underlined"/>
    <w:basedOn w:val="DefaultParagraphFont"/>
    <w:rsid w:val="00882827"/>
    <w:rPr>
      <w:u w:val="single"/>
    </w:rPr>
  </w:style>
  <w:style w:type="paragraph" w:customStyle="1" w:styleId="TableBodyTextRight">
    <w:name w:val="Table Body Text Right"/>
    <w:basedOn w:val="TableBodyText"/>
    <w:rsid w:val="008828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827"/>
    <w:rPr>
      <w:sz w:val="18"/>
    </w:rPr>
  </w:style>
  <w:style w:type="paragraph" w:customStyle="1" w:styleId="BodySmallRight">
    <w:name w:val="Body Small Right"/>
    <w:basedOn w:val="BodyTextRight"/>
    <w:rsid w:val="00882827"/>
    <w:rPr>
      <w:sz w:val="18"/>
      <w:szCs w:val="18"/>
    </w:rPr>
  </w:style>
  <w:style w:type="paragraph" w:customStyle="1" w:styleId="MarginEdition">
    <w:name w:val="Margin Edition"/>
    <w:basedOn w:val="MarginNote"/>
    <w:rsid w:val="008828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827"/>
    <w:rPr>
      <w:sz w:val="2"/>
      <w:szCs w:val="2"/>
    </w:rPr>
  </w:style>
  <w:style w:type="character" w:customStyle="1" w:styleId="Small">
    <w:name w:val="Small"/>
    <w:basedOn w:val="DefaultParagraphFont"/>
    <w:rsid w:val="00882827"/>
    <w:rPr>
      <w:sz w:val="16"/>
    </w:rPr>
  </w:style>
  <w:style w:type="paragraph" w:customStyle="1" w:styleId="WideTable">
    <w:name w:val="Wide Table"/>
    <w:basedOn w:val="Normal"/>
    <w:rsid w:val="008828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827"/>
  </w:style>
  <w:style w:type="paragraph" w:styleId="Quote">
    <w:name w:val="Quote"/>
    <w:basedOn w:val="Heading1"/>
    <w:link w:val="QuoteChar"/>
    <w:qFormat/>
    <w:rsid w:val="008828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8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827"/>
    <w:pPr>
      <w:pageBreakBefore/>
    </w:pPr>
  </w:style>
  <w:style w:type="paragraph" w:customStyle="1" w:styleId="Border">
    <w:name w:val="Border"/>
    <w:basedOn w:val="Normal"/>
    <w:qFormat/>
    <w:rsid w:val="008828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8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8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8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8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8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8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8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8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827"/>
    <w:rPr>
      <w:u w:val="single"/>
    </w:rPr>
  </w:style>
  <w:style w:type="character" w:customStyle="1" w:styleId="BoldandItalics">
    <w:name w:val="Bold and Italics"/>
    <w:qFormat/>
    <w:rsid w:val="00882827"/>
    <w:rPr>
      <w:b/>
      <w:i/>
      <w:u w:val="none"/>
    </w:rPr>
  </w:style>
  <w:style w:type="paragraph" w:styleId="BalloonText">
    <w:name w:val="Balloon Text"/>
    <w:basedOn w:val="Normal"/>
    <w:link w:val="BalloonTextChar"/>
    <w:rsid w:val="008828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8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8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8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8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8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827"/>
    <w:pPr>
      <w:spacing w:before="0" w:after="0"/>
    </w:pPr>
  </w:style>
  <w:style w:type="paragraph" w:customStyle="1" w:styleId="BodyTextBold">
    <w:name w:val="Body Text Bold"/>
    <w:basedOn w:val="BodyText"/>
    <w:qFormat/>
    <w:rsid w:val="00882827"/>
    <w:rPr>
      <w:b/>
    </w:rPr>
  </w:style>
  <w:style w:type="character" w:styleId="Hyperlink">
    <w:name w:val="Hyperlink"/>
    <w:basedOn w:val="DefaultParagraphFont"/>
    <w:uiPriority w:val="99"/>
    <w:unhideWhenUsed/>
    <w:rsid w:val="00506D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4784</Characters>
  <Application>Microsoft Office Word</Application>
  <DocSecurity>0</DocSecurity>
  <Lines>144</Lines>
  <Paragraphs>91</Paragraphs>
  <ScaleCrop>false</ScaleCrop>
  <Company>Author-it Software Corporation Ltd.</Company>
  <LinksUpToDate>false</LinksUpToDate>
  <CharactersWithSpaces>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MEM23137 Evaluate rolling tools and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2023-02-03T06:24:00Z</dcterms:created>
  <dcterms:modified xsi:type="dcterms:W3CDTF">2023-02-03T06:24:00Z</dcterms:modified>
</cp:coreProperties>
</file>