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110C" w:rsidP="009211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MEM23137 Evaluate rolling tools and processes</w:t>
      </w:r>
      <w:r>
        <w:fldChar w:fldCharType="end"/>
      </w:r>
    </w:p>
    <w:p w:rsidR="0092110C" w:rsidP="0092110C">
      <w:pPr>
        <w:pStyle w:val="Version"/>
        <w:sectPr w:rsidSect="00663C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3CA1" w:rsidP="00663CA1">
      <w:pPr>
        <w:pStyle w:val="SuperHeading"/>
      </w:pPr>
      <w:r w:rsidRPr="00663CA1">
        <w:t>Assessment Requirements for MEM23137 Evaluate rolling tools and processes</w:t>
      </w:r>
    </w:p>
    <w:p w:rsidR="00000000" w:rsidRPr="00663CA1" w:rsidP="00663CA1">
      <w:pPr>
        <w:pStyle w:val="Heading1"/>
      </w:pPr>
      <w:bookmarkStart w:id="1" w:name="O_944414"/>
      <w:bookmarkEnd w:id="1"/>
      <w:r w:rsidRPr="00663CA1">
        <w:t>Modification History</w:t>
      </w:r>
    </w:p>
    <w:p w:rsidR="0092110C" w:rsidP="0092110C">
      <w:pPr>
        <w:pStyle w:val="BodyText"/>
      </w:pPr>
      <w:r w:rsidRPr="00663CA1">
        <w:t>Release 1. Supersedes and is equivalent to MEM23137A Evaluate rolling tools and processes.</w:t>
      </w:r>
    </w:p>
    <w:p w:rsidR="00000000" w:rsidRPr="00663CA1" w:rsidP="00663CA1">
      <w:pPr>
        <w:pStyle w:val="Heading1"/>
      </w:pPr>
      <w:bookmarkStart w:id="2" w:name="O_944417"/>
      <w:bookmarkEnd w:id="2"/>
      <w:r w:rsidRPr="00663CA1">
        <w:t>Performance Evidence</w:t>
      </w:r>
    </w:p>
    <w:p w:rsidR="00000000" w:rsidRPr="00663CA1" w:rsidP="0092110C">
      <w:pPr>
        <w:pStyle w:val="BodyText"/>
      </w:pPr>
      <w:r w:rsidRPr="00663CA1">
        <w:t>Evidence required to demonstrate competence in this unit must be relevant to and satisfy the requirements of the elements and performance criteria and include:</w:t>
      </w:r>
    </w:p>
    <w:p w:rsidR="00000000" w:rsidRPr="00663CA1" w:rsidP="00663CA1">
      <w:pPr>
        <w:pStyle w:val="ListBullet"/>
      </w:pPr>
      <w:r w:rsidRPr="00663CA1">
        <w:t>determining parameters and context of rolling tools in manufacturing processes</w:t>
      </w:r>
    </w:p>
    <w:p w:rsidR="00000000" w:rsidRPr="00663CA1" w:rsidP="00663CA1">
      <w:pPr>
        <w:pStyle w:val="ListBullet"/>
      </w:pPr>
      <w:r w:rsidRPr="00663CA1">
        <w:t>reviewing design</w:t>
      </w:r>
      <w:r w:rsidRPr="00663CA1">
        <w:t xml:space="preserve"> and construction features, functions, applications and limitations of rolling tools on at least two occasions</w:t>
      </w:r>
    </w:p>
    <w:p w:rsidR="00000000" w:rsidRPr="00663CA1" w:rsidP="00663CA1">
      <w:pPr>
        <w:pStyle w:val="ListBullet"/>
      </w:pPr>
      <w:r w:rsidRPr="00663CA1">
        <w:t>investigating sustainability implications of rolling tools and associated manufacturing process</w:t>
      </w:r>
    </w:p>
    <w:p w:rsidR="00000000" w:rsidRPr="00663CA1" w:rsidP="00663CA1">
      <w:pPr>
        <w:pStyle w:val="ListBullet"/>
      </w:pPr>
      <w:r w:rsidRPr="00663CA1">
        <w:t>identifying principles, design, analysis techniqu</w:t>
      </w:r>
      <w:r w:rsidRPr="00663CA1">
        <w:t>es and software including supervisory control and data acquisition (SCADA) required to evaluate and optimise rolling tools and related manufacturing processes</w:t>
      </w:r>
    </w:p>
    <w:p w:rsidR="00000000" w:rsidRPr="00663CA1" w:rsidP="00663CA1">
      <w:pPr>
        <w:pStyle w:val="ListBullet"/>
      </w:pPr>
      <w:r w:rsidRPr="00663CA1">
        <w:t xml:space="preserve">establishing cross-sectional dimensions </w:t>
      </w:r>
    </w:p>
    <w:p w:rsidR="00000000" w:rsidRPr="00663CA1" w:rsidP="00663CA1">
      <w:pPr>
        <w:pStyle w:val="ListBullet"/>
      </w:pPr>
      <w:r w:rsidRPr="00663CA1">
        <w:t>developing a flower pattern for progressive forming on a</w:t>
      </w:r>
      <w:r w:rsidRPr="00663CA1">
        <w:t>t least two occasions</w:t>
      </w:r>
    </w:p>
    <w:p w:rsidR="00000000" w:rsidRPr="00663CA1" w:rsidP="00663CA1">
      <w:pPr>
        <w:pStyle w:val="ListBullet"/>
      </w:pPr>
      <w:r w:rsidRPr="00663CA1">
        <w:t>establishing product and roll orientation</w:t>
      </w:r>
    </w:p>
    <w:p w:rsidR="00000000" w:rsidRPr="00663CA1" w:rsidP="00663CA1">
      <w:pPr>
        <w:pStyle w:val="ListBullet"/>
      </w:pPr>
      <w:r w:rsidRPr="00663CA1">
        <w:t>designing rolls to suit the flower pattern</w:t>
      </w:r>
    </w:p>
    <w:p w:rsidR="00000000" w:rsidRPr="00663CA1" w:rsidP="00663CA1">
      <w:pPr>
        <w:pStyle w:val="ListBullet"/>
      </w:pPr>
      <w:r w:rsidRPr="00663CA1">
        <w:t>adding support operations including fixtures, guides, side rolls, straightening devices, cutting and punching on at least two occasions</w:t>
      </w:r>
    </w:p>
    <w:p w:rsidR="00000000" w:rsidRPr="00663CA1" w:rsidP="00663CA1">
      <w:pPr>
        <w:pStyle w:val="ListBullet"/>
      </w:pPr>
      <w:r w:rsidRPr="00663CA1">
        <w:t>evaluating wo</w:t>
      </w:r>
      <w:r w:rsidRPr="00663CA1">
        <w:t>rk health and safety (WHS), regulatory and risk management compliance</w:t>
      </w:r>
    </w:p>
    <w:p w:rsidR="00000000" w:rsidRPr="00663CA1" w:rsidP="00663CA1">
      <w:pPr>
        <w:pStyle w:val="ListBullet"/>
      </w:pPr>
      <w:r w:rsidRPr="00663CA1">
        <w:t>reporting and documenting results of evaluation.</w:t>
      </w:r>
    </w:p>
    <w:p w:rsidR="0092110C" w:rsidP="0092110C">
      <w:pPr>
        <w:pStyle w:val="BodyText"/>
      </w:pPr>
      <w:r w:rsidRPr="00663CA1">
        <w:t>Note: Where a volume and/or frequency is not specified, demonstration must be provided at least once.</w:t>
      </w:r>
    </w:p>
    <w:p w:rsidR="00000000" w:rsidRPr="00663CA1" w:rsidP="00663CA1">
      <w:pPr>
        <w:pStyle w:val="Heading1"/>
      </w:pPr>
      <w:bookmarkStart w:id="3" w:name="O_944416"/>
      <w:bookmarkEnd w:id="3"/>
      <w:r w:rsidRPr="00663CA1">
        <w:t>Knowledge Evidenc</w:t>
      </w:r>
      <w:r w:rsidRPr="00663CA1">
        <w:t>e</w:t>
      </w:r>
    </w:p>
    <w:p w:rsidR="00000000" w:rsidRPr="00663CA1" w:rsidP="0092110C">
      <w:pPr>
        <w:pStyle w:val="BodyText"/>
      </w:pPr>
      <w:r w:rsidRPr="00663CA1">
        <w:t>Evidence required to demonstrate the required knowledge for this unit must be relevant to and satisfy the requirements of the elements and performance criteria and include knowledge of:</w:t>
      </w:r>
    </w:p>
    <w:p w:rsidR="00000000" w:rsidRPr="00663CA1" w:rsidP="00663CA1">
      <w:pPr>
        <w:pStyle w:val="ListBullet"/>
      </w:pPr>
      <w:r w:rsidRPr="00663CA1">
        <w:t>properties of hot and cold working of metals and alloys, including:</w:t>
      </w:r>
    </w:p>
    <w:p w:rsidR="00000000" w:rsidRPr="00663CA1" w:rsidP="00663CA1">
      <w:pPr>
        <w:pStyle w:val="ListBullet2"/>
      </w:pPr>
      <w:r w:rsidRPr="00663CA1">
        <w:t>recrystallisation temperature</w:t>
      </w:r>
    </w:p>
    <w:p w:rsidR="00000000" w:rsidRPr="00663CA1" w:rsidP="00663CA1">
      <w:pPr>
        <w:pStyle w:val="ListBullet2"/>
      </w:pPr>
      <w:r w:rsidRPr="00663CA1">
        <w:t>grain size and microstructure</w:t>
      </w:r>
    </w:p>
    <w:p w:rsidR="00000000" w:rsidRPr="00663CA1" w:rsidP="00663CA1">
      <w:pPr>
        <w:pStyle w:val="ListBullet"/>
      </w:pPr>
      <w:r w:rsidRPr="00663CA1">
        <w:t>features and functions of rolling tools in a manufacturing operation</w:t>
      </w:r>
    </w:p>
    <w:p w:rsidR="00000000" w:rsidRPr="00663CA1" w:rsidP="00663CA1">
      <w:pPr>
        <w:pStyle w:val="ListBullet"/>
      </w:pPr>
      <w:r w:rsidRPr="00663CA1">
        <w:t>sources of technical and professional assistance</w:t>
      </w:r>
    </w:p>
    <w:p w:rsidR="00000000" w:rsidRPr="00663CA1" w:rsidP="00663CA1">
      <w:pPr>
        <w:pStyle w:val="ListBullet"/>
      </w:pPr>
      <w:r w:rsidRPr="00663CA1">
        <w:t>WHS and regulatory compliance requirements and risk management practices fo</w:t>
      </w:r>
      <w:r w:rsidRPr="00663CA1">
        <w:t>r rolling tools and related manufacturing and maintenance processes</w:t>
      </w:r>
    </w:p>
    <w:p w:rsidR="00000000" w:rsidRPr="00663CA1" w:rsidP="00663CA1">
      <w:pPr>
        <w:pStyle w:val="ListBullet"/>
      </w:pPr>
      <w:r w:rsidRPr="00663CA1">
        <w:t>sustainability and lean systems implications for rolling tools and related manufacturing processes</w:t>
      </w:r>
    </w:p>
    <w:p w:rsidR="00000000" w:rsidRPr="00663CA1" w:rsidP="00663CA1">
      <w:pPr>
        <w:pStyle w:val="ListBullet"/>
      </w:pPr>
      <w:r w:rsidRPr="00663CA1">
        <w:t>hot rolling including:</w:t>
      </w:r>
    </w:p>
    <w:p w:rsidR="00000000" w:rsidRPr="00663CA1" w:rsidP="00663CA1">
      <w:pPr>
        <w:pStyle w:val="ListBullet2"/>
      </w:pPr>
      <w:r w:rsidRPr="00663CA1">
        <w:t>critical design considerations for tooling</w:t>
      </w:r>
    </w:p>
    <w:p w:rsidR="00000000" w:rsidRPr="00663CA1" w:rsidP="00663CA1">
      <w:pPr>
        <w:pStyle w:val="ListBullet2"/>
      </w:pPr>
      <w:r w:rsidRPr="00663CA1">
        <w:t>multi-pass, multi-roll</w:t>
      </w:r>
      <w:r w:rsidRPr="00663CA1">
        <w:t xml:space="preserve"> including three high, four high mills and reversing mills</w:t>
      </w:r>
    </w:p>
    <w:p w:rsidR="00000000" w:rsidRPr="00663CA1" w:rsidP="00663CA1">
      <w:pPr>
        <w:pStyle w:val="ListBullet2"/>
      </w:pPr>
      <w:r w:rsidRPr="00663CA1">
        <w:t>hot rolled products</w:t>
      </w:r>
    </w:p>
    <w:p w:rsidR="00000000" w:rsidRPr="00663CA1" w:rsidP="00663CA1">
      <w:pPr>
        <w:pStyle w:val="ListBullet2"/>
      </w:pPr>
      <w:r w:rsidRPr="00663CA1">
        <w:t>effect of hot rolling and variations in rolling process on properties of rolled materials</w:t>
      </w:r>
    </w:p>
    <w:p w:rsidR="00000000" w:rsidRPr="00663CA1" w:rsidP="00663CA1">
      <w:pPr>
        <w:pStyle w:val="ListBullet2"/>
      </w:pPr>
      <w:r w:rsidRPr="00663CA1">
        <w:t>ring rolling</w:t>
      </w:r>
    </w:p>
    <w:p w:rsidR="00000000" w:rsidRPr="00663CA1" w:rsidP="00663CA1">
      <w:pPr>
        <w:pStyle w:val="ListBullet"/>
      </w:pPr>
      <w:r w:rsidRPr="00663CA1">
        <w:t>cold rolling including:</w:t>
      </w:r>
    </w:p>
    <w:p w:rsidR="00000000" w:rsidRPr="00663CA1" w:rsidP="00663CA1">
      <w:pPr>
        <w:pStyle w:val="ListBullet2"/>
      </w:pPr>
      <w:r w:rsidRPr="00663CA1">
        <w:t>critical design considerations for tooling</w:t>
      </w:r>
    </w:p>
    <w:p w:rsidR="00000000" w:rsidRPr="00663CA1" w:rsidP="00663CA1">
      <w:pPr>
        <w:pStyle w:val="ListBullet2"/>
      </w:pPr>
      <w:r w:rsidRPr="00663CA1">
        <w:t>related processes including pickling, cleaning, annealing and slitting</w:t>
      </w:r>
    </w:p>
    <w:p w:rsidR="00000000" w:rsidRPr="00663CA1" w:rsidP="00663CA1">
      <w:pPr>
        <w:pStyle w:val="ListBullet2"/>
      </w:pPr>
      <w:r w:rsidRPr="00663CA1">
        <w:t>cold rolled products</w:t>
      </w:r>
    </w:p>
    <w:p w:rsidR="00000000" w:rsidRPr="00663CA1" w:rsidP="00663CA1">
      <w:pPr>
        <w:pStyle w:val="ListBullet2"/>
      </w:pPr>
      <w:r w:rsidRPr="00663CA1">
        <w:t>properties of cold rolled materials including strength and hardness increase and ductility decrease</w:t>
      </w:r>
    </w:p>
    <w:p w:rsidR="00000000" w:rsidRPr="00663CA1" w:rsidP="00663CA1">
      <w:pPr>
        <w:pStyle w:val="ListBullet"/>
      </w:pPr>
      <w:r w:rsidRPr="00663CA1">
        <w:t>hot and cold rolling effects</w:t>
      </w:r>
    </w:p>
    <w:p w:rsidR="00000000" w:rsidRPr="00663CA1" w:rsidP="00663CA1">
      <w:pPr>
        <w:pStyle w:val="ListBullet"/>
      </w:pPr>
      <w:r w:rsidRPr="00663CA1">
        <w:t>roll forming including:</w:t>
      </w:r>
    </w:p>
    <w:p w:rsidR="00000000" w:rsidRPr="00663CA1" w:rsidP="00663CA1">
      <w:pPr>
        <w:pStyle w:val="ListBullet2"/>
      </w:pPr>
      <w:r w:rsidRPr="00663CA1">
        <w:t>thread ro</w:t>
      </w:r>
      <w:r w:rsidRPr="00663CA1">
        <w:t>lling for screws and bolts</w:t>
      </w:r>
    </w:p>
    <w:p w:rsidR="00000000" w:rsidRPr="00663CA1" w:rsidP="00663CA1">
      <w:pPr>
        <w:pStyle w:val="ListBullet2"/>
      </w:pPr>
      <w:r w:rsidRPr="00663CA1">
        <w:t xml:space="preserve">combined rolling techniques </w:t>
      </w:r>
    </w:p>
    <w:p w:rsidR="00000000" w:rsidRPr="00663CA1" w:rsidP="00663CA1">
      <w:pPr>
        <w:pStyle w:val="ListBullet"/>
      </w:pPr>
      <w:r w:rsidRPr="00663CA1">
        <w:t>roll pass design features including:</w:t>
      </w:r>
    </w:p>
    <w:p w:rsidR="00000000" w:rsidRPr="00663CA1" w:rsidP="00663CA1">
      <w:pPr>
        <w:pStyle w:val="ListBullet2"/>
      </w:pPr>
      <w:r w:rsidRPr="00663CA1">
        <w:t>product mechanical properties including:</w:t>
      </w:r>
    </w:p>
    <w:p w:rsidR="00000000" w:rsidRPr="00663CA1" w:rsidP="00663CA1">
      <w:pPr>
        <w:pStyle w:val="ListBullet3"/>
      </w:pPr>
      <w:r w:rsidRPr="00663CA1">
        <w:t>yield strength in tension and shear</w:t>
      </w:r>
    </w:p>
    <w:p w:rsidR="00000000" w:rsidRPr="00663CA1" w:rsidP="00663CA1">
      <w:pPr>
        <w:pStyle w:val="ListBullet3"/>
      </w:pPr>
      <w:r w:rsidRPr="00663CA1">
        <w:t>work hardening strain rate effect</w:t>
      </w:r>
    </w:p>
    <w:p w:rsidR="00000000" w:rsidRPr="00663CA1" w:rsidP="00663CA1">
      <w:pPr>
        <w:pStyle w:val="ListBullet3"/>
      </w:pPr>
      <w:r w:rsidRPr="00663CA1">
        <w:t>driven and non-driven rolls, and applied tension</w:t>
      </w:r>
    </w:p>
    <w:p w:rsidR="00000000" w:rsidRPr="00663CA1" w:rsidP="00663CA1">
      <w:pPr>
        <w:pStyle w:val="ListBullet3"/>
      </w:pPr>
      <w:r w:rsidRPr="00663CA1">
        <w:t>friction in rolling process</w:t>
      </w:r>
    </w:p>
    <w:p w:rsidR="00000000" w:rsidRPr="00663CA1" w:rsidP="00663CA1">
      <w:pPr>
        <w:pStyle w:val="ListBullet3"/>
      </w:pPr>
      <w:r w:rsidRPr="00663CA1">
        <w:t>roll bite geometry</w:t>
      </w:r>
    </w:p>
    <w:p w:rsidR="00000000" w:rsidRPr="00663CA1" w:rsidP="00663CA1">
      <w:pPr>
        <w:pStyle w:val="ListBullet3"/>
      </w:pPr>
      <w:r w:rsidRPr="00663CA1">
        <w:t>deflection compensation</w:t>
      </w:r>
    </w:p>
    <w:p w:rsidR="00000000" w:rsidRPr="00663CA1" w:rsidP="00663CA1">
      <w:pPr>
        <w:pStyle w:val="ListBullet2"/>
      </w:pPr>
      <w:r w:rsidRPr="00663CA1">
        <w:t>roll materials, manufacture and heat treatment</w:t>
      </w:r>
    </w:p>
    <w:p w:rsidR="00000000" w:rsidRPr="00663CA1" w:rsidP="00663CA1">
      <w:pPr>
        <w:pStyle w:val="ListBullet2"/>
      </w:pPr>
      <w:r w:rsidRPr="00663CA1">
        <w:t>roll force, torque and power</w:t>
      </w:r>
    </w:p>
    <w:p w:rsidR="00000000" w:rsidRPr="00663CA1" w:rsidP="00663CA1">
      <w:pPr>
        <w:pStyle w:val="ListBullet2"/>
      </w:pPr>
      <w:r w:rsidRPr="00663CA1">
        <w:t>product guide systems</w:t>
      </w:r>
    </w:p>
    <w:p w:rsidR="00000000" w:rsidRPr="00663CA1" w:rsidP="00663CA1">
      <w:pPr>
        <w:pStyle w:val="ListBullet2"/>
      </w:pPr>
      <w:r w:rsidRPr="00663CA1">
        <w:t>roll and product temperature and cooling rate control</w:t>
      </w:r>
    </w:p>
    <w:p w:rsidR="00000000" w:rsidRPr="00663CA1" w:rsidP="00663CA1">
      <w:pPr>
        <w:pStyle w:val="ListBullet"/>
      </w:pPr>
      <w:r w:rsidRPr="00663CA1">
        <w:t>roll forming pass design featur</w:t>
      </w:r>
      <w:r w:rsidRPr="00663CA1">
        <w:t>es</w:t>
      </w:r>
    </w:p>
    <w:p w:rsidR="00000000" w:rsidRPr="00663CA1" w:rsidP="00663CA1">
      <w:pPr>
        <w:pStyle w:val="ListBullet"/>
      </w:pPr>
      <w:r w:rsidRPr="00663CA1">
        <w:t>labour and skills distribution requirements</w:t>
      </w:r>
    </w:p>
    <w:p w:rsidR="00000000" w:rsidRPr="00663CA1" w:rsidP="00663CA1">
      <w:pPr>
        <w:pStyle w:val="ListBullet"/>
      </w:pPr>
      <w:r w:rsidRPr="00663CA1">
        <w:t>systems thinking, continuous improvement, constraint and contingency management, and comparative supply chain performance</w:t>
      </w:r>
    </w:p>
    <w:p w:rsidR="00000000" w:rsidRPr="00663CA1" w:rsidP="00663CA1">
      <w:pPr>
        <w:pStyle w:val="ListBullet"/>
      </w:pPr>
      <w:r w:rsidRPr="00663CA1">
        <w:t>WHS and regulatory requirements, codes of practice, standards, risk management and registration requirements</w:t>
      </w:r>
    </w:p>
    <w:p w:rsidR="0092110C" w:rsidP="00663CA1">
      <w:pPr>
        <w:pStyle w:val="ListBullet"/>
      </w:pPr>
      <w:r w:rsidRPr="00663CA1">
        <w:t>reporting and documentation requirements.</w:t>
      </w:r>
    </w:p>
    <w:p w:rsidR="0092110C" w:rsidP="00663CA1">
      <w:pPr>
        <w:pStyle w:val="ListBullet"/>
      </w:pPr>
    </w:p>
    <w:p w:rsidR="00000000" w:rsidRPr="00663CA1" w:rsidP="00663CA1">
      <w:pPr>
        <w:pStyle w:val="Heading1"/>
      </w:pPr>
      <w:bookmarkStart w:id="4" w:name="O_944415"/>
      <w:bookmarkEnd w:id="4"/>
      <w:r w:rsidRPr="00663CA1">
        <w:t>Assessment Conditions</w:t>
      </w:r>
    </w:p>
    <w:p w:rsidR="00000000" w:rsidRPr="00663CA1" w:rsidP="00663CA1">
      <w:pPr>
        <w:pStyle w:val="ListBullet"/>
      </w:pPr>
      <w:r w:rsidRPr="00663CA1">
        <w:t>Assessors must:</w:t>
      </w:r>
    </w:p>
    <w:p w:rsidR="00000000" w:rsidRPr="00663CA1" w:rsidP="00663CA1">
      <w:pPr>
        <w:pStyle w:val="ListBullet2"/>
      </w:pPr>
      <w:r w:rsidRPr="00663CA1">
        <w:t>have vocational competency in evaluating roll</w:t>
      </w:r>
      <w:r w:rsidRPr="00663CA1">
        <w:t>ing tools and processes at least to the level being assessed with relevant industry knowledge and experience</w:t>
      </w:r>
    </w:p>
    <w:p w:rsidR="00000000" w:rsidRPr="00663CA1" w:rsidP="00663CA1">
      <w:pPr>
        <w:pStyle w:val="ListBullet2"/>
      </w:pPr>
      <w:r w:rsidRPr="00663CA1">
        <w:t xml:space="preserve">satisfy the assessor requirements in the </w:t>
      </w:r>
      <w:r w:rsidRPr="00663CA1">
        <w:rPr>
          <w:rStyle w:val="Emphasis"/>
        </w:rPr>
        <w:t xml:space="preserve">Standards for Registered Training Organisations 2015 or its replacement </w:t>
      </w:r>
      <w:r w:rsidRPr="00663CA1">
        <w:t xml:space="preserve">and comply with the </w:t>
      </w:r>
      <w:r w:rsidRPr="00663CA1">
        <w:rPr>
          <w:rStyle w:val="Emphasis"/>
        </w:rPr>
        <w:t>National Vocat</w:t>
      </w:r>
      <w:r w:rsidRPr="00663CA1">
        <w:rPr>
          <w:rStyle w:val="Emphasis"/>
        </w:rPr>
        <w:t xml:space="preserve">ional Education and Training Regulator Act 2011, </w:t>
      </w:r>
      <w:r w:rsidRPr="00663CA1">
        <w:t>its replacement</w:t>
      </w:r>
      <w:r w:rsidRPr="00663CA1">
        <w:rPr>
          <w:rStyle w:val="Emphasis"/>
        </w:rPr>
        <w:t xml:space="preserve"> </w:t>
      </w:r>
      <w:r w:rsidRPr="00663CA1">
        <w:t>or equivalent legislation covering VET regulation in a non-referring state/territory as the case requires.</w:t>
      </w:r>
    </w:p>
    <w:p w:rsidR="00000000" w:rsidRPr="00663CA1" w:rsidP="00663CA1">
      <w:pPr>
        <w:pStyle w:val="ListBullet"/>
      </w:pPr>
      <w:r w:rsidRPr="00663CA1">
        <w:t>Where possible assessment must occur in operational workplace situations. Where thi</w:t>
      </w:r>
      <w:r w:rsidRPr="00663CA1">
        <w:t>s is not possible or where personal safety or environmental damage are limiting factors, assessment must occur in a sufficiently rigorous simulated environment that reflects realistic operational workplace conditions that cover all aspects of workplace per</w:t>
      </w:r>
      <w:r w:rsidRPr="00663CA1">
        <w:t>formance, including environment, task skills, task management skills, contingency management skills and job role environment skills.</w:t>
      </w:r>
    </w:p>
    <w:p w:rsidR="00000000" w:rsidRPr="00663CA1" w:rsidP="00663CA1">
      <w:pPr>
        <w:pStyle w:val="ListBullet"/>
      </w:pPr>
      <w:r w:rsidRPr="00663CA1">
        <w:t>Conditions for assessment must include access to all tools, equipment, materials and documentation required including relev</w:t>
      </w:r>
      <w:r w:rsidRPr="00663CA1">
        <w:t>ant workplace procedures, product and manufacturing specifications.</w:t>
      </w:r>
    </w:p>
    <w:p w:rsidR="0092110C" w:rsidP="00663CA1">
      <w:pPr>
        <w:pStyle w:val="ListBullet"/>
      </w:pPr>
      <w:r w:rsidRPr="00663CA1">
        <w:t>Assessment processes and techniques must be appropriate to the language, literacy and numeracy requirements of the work being performed and the needs of the candidate.</w:t>
      </w:r>
    </w:p>
    <w:p w:rsidR="0092110C" w:rsidP="00663CA1">
      <w:pPr>
        <w:pStyle w:val="ListBullet"/>
      </w:pPr>
    </w:p>
    <w:p w:rsidR="00000000" w:rsidRPr="00663CA1" w:rsidP="00663CA1">
      <w:pPr>
        <w:pStyle w:val="Heading1"/>
      </w:pPr>
      <w:bookmarkStart w:id="5" w:name="O_944413"/>
      <w:bookmarkEnd w:id="5"/>
      <w:r w:rsidRPr="00663CA1">
        <w:t>Links</w:t>
      </w:r>
    </w:p>
    <w:p w:rsidR="00000000" w:rsidRPr="00663CA1" w:rsidP="0092110C">
      <w:pPr>
        <w:pStyle w:val="BodyText"/>
      </w:pPr>
      <w:r w:rsidRPr="00663CA1">
        <w:t xml:space="preserve">Companion Volume Implementation Guides are available on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65A8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63CA1" w:rsidP="00663CA1"/>
    <w:sectPr w:rsidSect="00663C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C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CA1" w:rsidRPr="0092110C" w:rsidP="009211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C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10C" w:rsidP="00663C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110C" w:rsidP="00663C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2110C" w:rsidP="00663C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C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1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3CA1" w:rsidRPr="0092110C" w:rsidP="009211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C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10C" w:rsidRPr="002D2AF8" w:rsidP="00663C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MEM23137 Evaluate rolling tools and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92110C" w:rsidP="00663C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698F3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C1858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E3833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3C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3C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3C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3C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3C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3C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3C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3C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3C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3C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3C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3CA1"/>
  </w:style>
  <w:style w:type="character" w:customStyle="1" w:styleId="Heading1Char">
    <w:name w:val="Heading 1 Char"/>
    <w:basedOn w:val="DefaultParagraphFont"/>
    <w:link w:val="Heading1"/>
    <w:rsid w:val="00663C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3C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3C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3CA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63CA1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63CA1"/>
    <w:rPr>
      <w:i/>
    </w:rPr>
  </w:style>
  <w:style w:type="paragraph" w:customStyle="1" w:styleId="SuperHeading">
    <w:name w:val="SuperHeading"/>
    <w:basedOn w:val="Normal"/>
    <w:rsid w:val="00663C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3C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63CA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63C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3C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3C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3C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3C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3C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3C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3C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3C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3C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3C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3C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3C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3C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3C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3C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3C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3C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3C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3C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63CA1"/>
    <w:rPr>
      <w:b/>
      <w:spacing w:val="0"/>
    </w:rPr>
  </w:style>
  <w:style w:type="paragraph" w:customStyle="1" w:styleId="SuperTitle">
    <w:name w:val="SuperTitle"/>
    <w:basedOn w:val="Title"/>
    <w:rsid w:val="00663C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3C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3C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63C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3C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3C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3C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3C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3C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3C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3C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3CA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63C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3C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3C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3CA1"/>
  </w:style>
  <w:style w:type="paragraph" w:styleId="TableofFigures">
    <w:name w:val="table of figures"/>
    <w:basedOn w:val="Normal"/>
    <w:next w:val="Normal"/>
    <w:semiHidden/>
    <w:rsid w:val="00663C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3CA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63CA1"/>
    <w:rPr>
      <w:rFonts w:ascii="Wingdings" w:hAnsi="Wingdings"/>
    </w:rPr>
  </w:style>
  <w:style w:type="paragraph" w:customStyle="1" w:styleId="TableHeading">
    <w:name w:val="Table Heading"/>
    <w:basedOn w:val="HeadingBase"/>
    <w:rsid w:val="00663C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3CA1"/>
    <w:rPr>
      <w:color w:val="0033CC"/>
      <w:u w:val="none"/>
    </w:rPr>
  </w:style>
  <w:style w:type="paragraph" w:customStyle="1" w:styleId="BodyTextRight">
    <w:name w:val="Body Text Right"/>
    <w:basedOn w:val="BodyText"/>
    <w:rsid w:val="00663C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3C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3CA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3C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3C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3C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3CA1"/>
    <w:rPr>
      <w:sz w:val="32"/>
    </w:rPr>
  </w:style>
  <w:style w:type="paragraph" w:customStyle="1" w:styleId="HeadingProcedure">
    <w:name w:val="Heading Procedure"/>
    <w:basedOn w:val="HeadingBase"/>
    <w:next w:val="Normal"/>
    <w:rsid w:val="00663C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3CA1"/>
    <w:pPr>
      <w:spacing w:before="60" w:after="60"/>
    </w:pPr>
  </w:style>
  <w:style w:type="paragraph" w:styleId="ListContinue">
    <w:name w:val="List Continue"/>
    <w:basedOn w:val="List"/>
    <w:rsid w:val="00663CA1"/>
    <w:pPr>
      <w:ind w:firstLine="0"/>
    </w:pPr>
  </w:style>
  <w:style w:type="paragraph" w:customStyle="1" w:styleId="ListNote">
    <w:name w:val="List Note"/>
    <w:basedOn w:val="List"/>
    <w:rsid w:val="00663C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3C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3C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3CA1"/>
    <w:rPr>
      <w:rFonts w:ascii="Courier New" w:hAnsi="Courier New"/>
    </w:rPr>
  </w:style>
  <w:style w:type="paragraph" w:customStyle="1" w:styleId="NoteBullet">
    <w:name w:val="Note Bullet"/>
    <w:basedOn w:val="Note"/>
    <w:rsid w:val="00663C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3C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3C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3C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3CA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63C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3C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3CA1"/>
    <w:rPr>
      <w:b/>
      <w:smallCaps/>
    </w:rPr>
  </w:style>
  <w:style w:type="paragraph" w:customStyle="1" w:styleId="TableListNumber">
    <w:name w:val="Table List Number"/>
    <w:basedOn w:val="ListNumber"/>
    <w:rsid w:val="00663C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3C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3CA1"/>
    <w:pPr>
      <w:numPr>
        <w:numId w:val="10"/>
      </w:numPr>
    </w:pPr>
  </w:style>
  <w:style w:type="paragraph" w:customStyle="1" w:styleId="ListAlpha2">
    <w:name w:val="List Alpha 2"/>
    <w:basedOn w:val="List2"/>
    <w:rsid w:val="00663CA1"/>
    <w:pPr>
      <w:numPr>
        <w:numId w:val="9"/>
      </w:numPr>
    </w:pPr>
  </w:style>
  <w:style w:type="paragraph" w:styleId="List2">
    <w:name w:val="List 2"/>
    <w:basedOn w:val="BodyText"/>
    <w:rsid w:val="00663C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3C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3C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3CA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63CA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63CA1"/>
    <w:pPr>
      <w:numPr>
        <w:numId w:val="5"/>
      </w:numPr>
    </w:pPr>
  </w:style>
  <w:style w:type="paragraph" w:styleId="ListContinue2">
    <w:name w:val="List Continue 2"/>
    <w:basedOn w:val="List2"/>
    <w:rsid w:val="00663CA1"/>
    <w:pPr>
      <w:ind w:firstLine="0"/>
    </w:pPr>
  </w:style>
  <w:style w:type="paragraph" w:styleId="ListContinue3">
    <w:name w:val="List Continue 3"/>
    <w:basedOn w:val="List3"/>
    <w:rsid w:val="00663CA1"/>
    <w:pPr>
      <w:ind w:left="1021" w:firstLine="0"/>
    </w:pPr>
  </w:style>
  <w:style w:type="paragraph" w:styleId="ListContinue4">
    <w:name w:val="List Continue 4"/>
    <w:basedOn w:val="List4"/>
    <w:rsid w:val="00663CA1"/>
    <w:pPr>
      <w:ind w:firstLine="0"/>
    </w:pPr>
  </w:style>
  <w:style w:type="paragraph" w:styleId="ListContinue5">
    <w:name w:val="List Continue 5"/>
    <w:basedOn w:val="List5"/>
    <w:rsid w:val="00663CA1"/>
    <w:pPr>
      <w:ind w:firstLine="0"/>
    </w:pPr>
  </w:style>
  <w:style w:type="paragraph" w:styleId="ListNumber3">
    <w:name w:val="List Number 3"/>
    <w:basedOn w:val="List3"/>
    <w:rsid w:val="00663CA1"/>
    <w:pPr>
      <w:numPr>
        <w:numId w:val="6"/>
      </w:numPr>
    </w:pPr>
  </w:style>
  <w:style w:type="paragraph" w:styleId="ListNumber4">
    <w:name w:val="List Number 4"/>
    <w:basedOn w:val="List4"/>
    <w:rsid w:val="00663CA1"/>
    <w:pPr>
      <w:numPr>
        <w:numId w:val="7"/>
      </w:numPr>
    </w:pPr>
  </w:style>
  <w:style w:type="paragraph" w:styleId="ListNumber5">
    <w:name w:val="List Number 5"/>
    <w:basedOn w:val="List5"/>
    <w:rsid w:val="00663CA1"/>
    <w:pPr>
      <w:numPr>
        <w:numId w:val="8"/>
      </w:numPr>
    </w:pPr>
  </w:style>
  <w:style w:type="paragraph" w:styleId="BlockText">
    <w:name w:val="Block Text"/>
    <w:basedOn w:val="Normal"/>
    <w:rsid w:val="00663C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3C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3CA1"/>
    <w:rPr>
      <w:sz w:val="16"/>
      <w:vertAlign w:val="superscript"/>
    </w:rPr>
  </w:style>
  <w:style w:type="character" w:customStyle="1" w:styleId="Symbols">
    <w:name w:val="Symbols"/>
    <w:basedOn w:val="DefaultParagraphFont"/>
    <w:rsid w:val="00663CA1"/>
    <w:rPr>
      <w:rFonts w:ascii="Symbol" w:hAnsi="Symbol"/>
    </w:rPr>
  </w:style>
  <w:style w:type="character" w:customStyle="1" w:styleId="MenuOptions">
    <w:name w:val="Menu Options"/>
    <w:basedOn w:val="DefaultParagraphFont"/>
    <w:rsid w:val="00663C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3CA1"/>
    <w:rPr>
      <w:b/>
    </w:rPr>
  </w:style>
  <w:style w:type="character" w:customStyle="1" w:styleId="Underlined">
    <w:name w:val="Underlined"/>
    <w:basedOn w:val="DefaultParagraphFont"/>
    <w:rsid w:val="00663CA1"/>
    <w:rPr>
      <w:u w:val="single"/>
    </w:rPr>
  </w:style>
  <w:style w:type="paragraph" w:customStyle="1" w:styleId="TableBodyTextRight">
    <w:name w:val="Table Body Text Right"/>
    <w:basedOn w:val="TableBodyText"/>
    <w:rsid w:val="00663C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3CA1"/>
    <w:rPr>
      <w:sz w:val="18"/>
    </w:rPr>
  </w:style>
  <w:style w:type="paragraph" w:customStyle="1" w:styleId="BodySmallRight">
    <w:name w:val="Body Small Right"/>
    <w:basedOn w:val="BodyTextRight"/>
    <w:rsid w:val="00663CA1"/>
    <w:rPr>
      <w:sz w:val="18"/>
      <w:szCs w:val="18"/>
    </w:rPr>
  </w:style>
  <w:style w:type="paragraph" w:customStyle="1" w:styleId="MarginEdition">
    <w:name w:val="Margin Edition"/>
    <w:basedOn w:val="MarginNote"/>
    <w:rsid w:val="00663C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3CA1"/>
    <w:rPr>
      <w:sz w:val="2"/>
      <w:szCs w:val="2"/>
    </w:rPr>
  </w:style>
  <w:style w:type="character" w:customStyle="1" w:styleId="Small">
    <w:name w:val="Small"/>
    <w:basedOn w:val="DefaultParagraphFont"/>
    <w:rsid w:val="00663CA1"/>
    <w:rPr>
      <w:sz w:val="16"/>
    </w:rPr>
  </w:style>
  <w:style w:type="paragraph" w:customStyle="1" w:styleId="WideTable">
    <w:name w:val="Wide Table"/>
    <w:basedOn w:val="Normal"/>
    <w:rsid w:val="00663C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3CA1"/>
  </w:style>
  <w:style w:type="paragraph" w:styleId="Quote">
    <w:name w:val="Quote"/>
    <w:basedOn w:val="Heading1"/>
    <w:link w:val="QuoteChar"/>
    <w:qFormat/>
    <w:rsid w:val="00663C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3C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3CA1"/>
    <w:pPr>
      <w:pageBreakBefore/>
    </w:pPr>
  </w:style>
  <w:style w:type="paragraph" w:customStyle="1" w:styleId="Border">
    <w:name w:val="Border"/>
    <w:basedOn w:val="Normal"/>
    <w:qFormat/>
    <w:rsid w:val="00663C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3C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3C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3C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3C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3C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3C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3C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3C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3CA1"/>
    <w:rPr>
      <w:u w:val="single"/>
    </w:rPr>
  </w:style>
  <w:style w:type="character" w:customStyle="1" w:styleId="BoldandItalics">
    <w:name w:val="Bold and Italics"/>
    <w:qFormat/>
    <w:rsid w:val="00663CA1"/>
    <w:rPr>
      <w:b/>
      <w:i/>
      <w:u w:val="none"/>
    </w:rPr>
  </w:style>
  <w:style w:type="paragraph" w:styleId="BalloonText">
    <w:name w:val="Balloon Text"/>
    <w:basedOn w:val="Normal"/>
    <w:link w:val="BalloonTextChar"/>
    <w:rsid w:val="00663C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3C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3C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3C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3C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3C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3CA1"/>
    <w:pPr>
      <w:spacing w:before="0" w:after="0"/>
    </w:pPr>
  </w:style>
  <w:style w:type="paragraph" w:customStyle="1" w:styleId="BodyTextBold">
    <w:name w:val="Body Text Bold"/>
    <w:basedOn w:val="BodyText"/>
    <w:qFormat/>
    <w:rsid w:val="00663CA1"/>
    <w:rPr>
      <w:b/>
    </w:rPr>
  </w:style>
  <w:style w:type="character" w:styleId="Hyperlink">
    <w:name w:val="Hyperlink"/>
    <w:basedOn w:val="DefaultParagraphFont"/>
    <w:uiPriority w:val="99"/>
    <w:unhideWhenUsed/>
    <w:rsid w:val="009211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682</Words>
  <Characters>4636</Characters>
  <Application>Microsoft Office Word</Application>
  <DocSecurity>0</DocSecurity>
  <Lines>105</Lines>
  <Paragraphs>80</Paragraphs>
  <ScaleCrop>false</ScaleCrop>
  <Company>Author-it Software Corporation Ltd.</Company>
  <LinksUpToDate>false</LinksUpToDate>
  <CharactersWithSpaces>5238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MEM23137 Evaluate rolling tools and processes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2023-02-03T06:14:00Z</dcterms:created>
  <dcterms:modified xsi:type="dcterms:W3CDTF">2023-02-03T06:14:00Z</dcterms:modified>
</cp:coreProperties>
</file>