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92E" w:rsidP="00133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MEM23135 Evaluate moulding tools and processes</w:t>
      </w:r>
      <w:r>
        <w:fldChar w:fldCharType="end"/>
      </w:r>
    </w:p>
    <w:p w:rsidR="0013392E" w:rsidP="0013392E">
      <w:pPr>
        <w:pStyle w:val="Version"/>
        <w:sectPr w:rsidSect="00FF0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BA8" w:rsidP="00FF0BA8">
      <w:pPr>
        <w:pStyle w:val="SuperHeading"/>
      </w:pPr>
      <w:r w:rsidRPr="00FF0BA8">
        <w:t>Assessment Requirements for MEM23135 Evaluate moulding tools and processes</w:t>
      </w:r>
    </w:p>
    <w:p w:rsidR="00000000" w:rsidRPr="00FF0BA8" w:rsidP="00FF0BA8">
      <w:pPr>
        <w:pStyle w:val="Heading1"/>
      </w:pPr>
      <w:bookmarkStart w:id="1" w:name="O_944376"/>
      <w:bookmarkEnd w:id="1"/>
      <w:r w:rsidRPr="00FF0BA8">
        <w:t>Modification History</w:t>
      </w:r>
    </w:p>
    <w:p w:rsidR="0013392E" w:rsidP="0013392E">
      <w:pPr>
        <w:pStyle w:val="BodyText"/>
      </w:pPr>
      <w:r w:rsidRPr="00FF0BA8">
        <w:t>Release 1. Supersedes and is equivalent to MEM23135A Evaluate moulding tools and processes.</w:t>
      </w:r>
    </w:p>
    <w:p w:rsidR="00000000" w:rsidRPr="00FF0BA8" w:rsidP="00FF0BA8">
      <w:pPr>
        <w:pStyle w:val="Heading1"/>
      </w:pPr>
      <w:bookmarkStart w:id="2" w:name="O_944379"/>
      <w:bookmarkEnd w:id="2"/>
      <w:r w:rsidRPr="00FF0BA8">
        <w:t>Performance Evidence</w:t>
      </w:r>
    </w:p>
    <w:p w:rsidR="00000000" w:rsidRPr="00FF0BA8" w:rsidP="0013392E">
      <w:pPr>
        <w:pStyle w:val="BodyText"/>
      </w:pPr>
      <w:r w:rsidRPr="00FF0BA8">
        <w:t>Evidence required to demonstrate competence in this unit must be relevant to and satisfy the requirements of the elements and performance criteria and include:</w:t>
      </w:r>
    </w:p>
    <w:p w:rsidR="00000000" w:rsidRPr="00FF0BA8" w:rsidP="00FF0BA8">
      <w:pPr>
        <w:pStyle w:val="ListBullet"/>
      </w:pPr>
      <w:r w:rsidRPr="00FF0BA8">
        <w:t>determining parameters and context of moulding tools in manufacturing processes</w:t>
      </w:r>
    </w:p>
    <w:p w:rsidR="00000000" w:rsidRPr="00FF0BA8" w:rsidP="00FF0BA8">
      <w:pPr>
        <w:pStyle w:val="ListBullet"/>
      </w:pPr>
      <w:r w:rsidRPr="00FF0BA8">
        <w:t>reviewing desig</w:t>
      </w:r>
      <w:r w:rsidRPr="00FF0BA8">
        <w:t>n and construction features, functions, applications and limitations of moulding tools on at least two occasions</w:t>
      </w:r>
    </w:p>
    <w:p w:rsidR="00000000" w:rsidRPr="00FF0BA8" w:rsidP="00FF0BA8">
      <w:pPr>
        <w:pStyle w:val="ListBullet"/>
      </w:pPr>
      <w:r w:rsidRPr="00FF0BA8">
        <w:t>investigating sustainability implications of moulding tools and associated manufacturing processes</w:t>
      </w:r>
    </w:p>
    <w:p w:rsidR="00000000" w:rsidRPr="00FF0BA8" w:rsidP="00FF0BA8">
      <w:pPr>
        <w:pStyle w:val="ListBullet"/>
      </w:pPr>
      <w:r w:rsidRPr="00FF0BA8">
        <w:t>identifying principles, design, analysis tec</w:t>
      </w:r>
      <w:r w:rsidRPr="00FF0BA8">
        <w:t>hniques and software including supervisory control and data acquisition (SCADA) required to evaluate and optimise moulding tools and related manufacturing processes</w:t>
      </w:r>
    </w:p>
    <w:p w:rsidR="00000000" w:rsidRPr="00FF0BA8" w:rsidP="00FF0BA8">
      <w:pPr>
        <w:pStyle w:val="ListBullet"/>
      </w:pPr>
      <w:r w:rsidRPr="00FF0BA8">
        <w:t>evaluating work health and safety (WHS), regulatory and risk management compliance</w:t>
      </w:r>
    </w:p>
    <w:p w:rsidR="00000000" w:rsidRPr="00FF0BA8" w:rsidP="00FF0BA8">
      <w:pPr>
        <w:pStyle w:val="ListBullet"/>
      </w:pPr>
      <w:r w:rsidRPr="00FF0BA8">
        <w:t>reportin</w:t>
      </w:r>
      <w:r w:rsidRPr="00FF0BA8">
        <w:t>g and documenting results of evaluation.</w:t>
      </w:r>
    </w:p>
    <w:p w:rsidR="0013392E" w:rsidP="0013392E">
      <w:pPr>
        <w:pStyle w:val="BodyText"/>
      </w:pPr>
      <w:r w:rsidRPr="00FF0BA8">
        <w:t>Note: Where a volume and/or frequency is not specified, demonstration must be provided at least once.</w:t>
      </w:r>
    </w:p>
    <w:p w:rsidR="00000000" w:rsidRPr="00FF0BA8" w:rsidP="00FF0BA8">
      <w:pPr>
        <w:pStyle w:val="Heading1"/>
      </w:pPr>
      <w:bookmarkStart w:id="3" w:name="O_944378"/>
      <w:bookmarkEnd w:id="3"/>
      <w:r w:rsidRPr="00FF0BA8">
        <w:t>Knowledge Evidence</w:t>
      </w:r>
    </w:p>
    <w:p w:rsidR="00000000" w:rsidRPr="00FF0BA8" w:rsidP="0013392E">
      <w:pPr>
        <w:pStyle w:val="BodyText"/>
      </w:pPr>
      <w:r w:rsidRPr="00FF0BA8">
        <w:t>Evidence required to demonstrate the required knowledge for this unit must b</w:t>
      </w:r>
      <w:r w:rsidRPr="00FF0BA8">
        <w:t>e relevant to and satisfy the requirements of the elements and performance criteria and include knowledge of:</w:t>
      </w:r>
    </w:p>
    <w:p w:rsidR="00000000" w:rsidRPr="00FF0BA8" w:rsidP="00FF0BA8">
      <w:pPr>
        <w:pStyle w:val="ListBullet"/>
      </w:pPr>
      <w:r w:rsidRPr="00FF0BA8">
        <w:t>design parameters, construction features, functions and context of moulding tools in manufacturing operations</w:t>
      </w:r>
    </w:p>
    <w:p w:rsidR="00000000" w:rsidRPr="00FF0BA8" w:rsidP="00FF0BA8">
      <w:pPr>
        <w:pStyle w:val="ListBullet"/>
      </w:pPr>
      <w:r w:rsidRPr="00FF0BA8">
        <w:t>sources of technical and profession</w:t>
      </w:r>
      <w:r w:rsidRPr="00FF0BA8">
        <w:t>al assistance</w:t>
      </w:r>
    </w:p>
    <w:p w:rsidR="00000000" w:rsidRPr="00FF0BA8" w:rsidP="00FF0BA8">
      <w:pPr>
        <w:pStyle w:val="ListBullet"/>
      </w:pPr>
      <w:r w:rsidRPr="00FF0BA8">
        <w:t>WHS and regulatory compliance requirements, and risk management practices for moulding tools and related manufacturing and maintenance processes</w:t>
      </w:r>
    </w:p>
    <w:p w:rsidR="00000000" w:rsidRPr="00FF0BA8" w:rsidP="00FF0BA8">
      <w:pPr>
        <w:pStyle w:val="ListBullet"/>
      </w:pPr>
      <w:r w:rsidRPr="00FF0BA8">
        <w:t>sustainability and lean systems implications for mould tooling and related manufacturing processe</w:t>
      </w:r>
      <w:r w:rsidRPr="00FF0BA8">
        <w:t>s</w:t>
      </w:r>
    </w:p>
    <w:p w:rsidR="00000000" w:rsidRPr="00FF0BA8" w:rsidP="00FF0BA8">
      <w:pPr>
        <w:pStyle w:val="ListBullet"/>
      </w:pPr>
      <w:r w:rsidRPr="00FF0BA8">
        <w:t>moulding processes that use tooling including:</w:t>
      </w:r>
    </w:p>
    <w:p w:rsidR="00000000" w:rsidRPr="00FF0BA8" w:rsidP="00FF0BA8">
      <w:pPr>
        <w:pStyle w:val="ListBullet2"/>
      </w:pPr>
      <w:r w:rsidRPr="00FF0BA8">
        <w:t>injection moulding</w:t>
      </w:r>
    </w:p>
    <w:p w:rsidR="00000000" w:rsidRPr="00FF0BA8" w:rsidP="00FF0BA8">
      <w:pPr>
        <w:pStyle w:val="ListBullet2"/>
      </w:pPr>
      <w:r w:rsidRPr="00FF0BA8">
        <w:t>blow moulding</w:t>
      </w:r>
    </w:p>
    <w:p w:rsidR="00000000" w:rsidRPr="00FF0BA8" w:rsidP="00FF0BA8">
      <w:pPr>
        <w:pStyle w:val="ListBullet2"/>
      </w:pPr>
      <w:r w:rsidRPr="00FF0BA8">
        <w:t>extrusion moulding</w:t>
      </w:r>
    </w:p>
    <w:p w:rsidR="00000000" w:rsidRPr="00FF0BA8" w:rsidP="00FF0BA8">
      <w:pPr>
        <w:pStyle w:val="ListBullet2"/>
      </w:pPr>
      <w:r w:rsidRPr="00FF0BA8">
        <w:t>compression moulding</w:t>
      </w:r>
    </w:p>
    <w:p w:rsidR="00000000" w:rsidRPr="00FF0BA8" w:rsidP="00FF0BA8">
      <w:pPr>
        <w:pStyle w:val="ListBullet2"/>
      </w:pPr>
      <w:r w:rsidRPr="00FF0BA8">
        <w:t>rotational moulding</w:t>
      </w:r>
    </w:p>
    <w:p w:rsidR="00000000" w:rsidRPr="00FF0BA8" w:rsidP="00FF0BA8">
      <w:pPr>
        <w:pStyle w:val="ListBullet2"/>
      </w:pPr>
      <w:r w:rsidRPr="00FF0BA8">
        <w:t>thermoform (vacuum) moulding</w:t>
      </w:r>
    </w:p>
    <w:p w:rsidR="00000000" w:rsidRPr="00FF0BA8" w:rsidP="00FF0BA8">
      <w:pPr>
        <w:pStyle w:val="ListBullet2"/>
      </w:pPr>
      <w:r w:rsidRPr="00FF0BA8">
        <w:t>die casting</w:t>
      </w:r>
    </w:p>
    <w:p w:rsidR="00000000" w:rsidRPr="00FF0BA8" w:rsidP="00FF0BA8">
      <w:pPr>
        <w:pStyle w:val="ListBullet2"/>
      </w:pPr>
      <w:r w:rsidRPr="00FF0BA8">
        <w:t>low volume and manual moulding</w:t>
      </w:r>
    </w:p>
    <w:p w:rsidR="00000000" w:rsidRPr="00FF0BA8" w:rsidP="00FF0BA8">
      <w:pPr>
        <w:pStyle w:val="ListBullet"/>
      </w:pPr>
      <w:r w:rsidRPr="00FF0BA8">
        <w:t>moulding tool design features, functions and manufacturing techniques</w:t>
      </w:r>
    </w:p>
    <w:p w:rsidR="00000000" w:rsidRPr="00FF0BA8" w:rsidP="00FF0BA8">
      <w:pPr>
        <w:pStyle w:val="ListBullet"/>
      </w:pPr>
      <w:r w:rsidRPr="00FF0BA8">
        <w:t>computer-aided design (CAD) design software and techniques including software for:</w:t>
      </w:r>
    </w:p>
    <w:p w:rsidR="00000000" w:rsidRPr="00FF0BA8" w:rsidP="00FF0BA8">
      <w:pPr>
        <w:pStyle w:val="ListBullet2"/>
      </w:pPr>
      <w:r w:rsidRPr="00FF0BA8">
        <w:t>analysis</w:t>
      </w:r>
    </w:p>
    <w:p w:rsidR="00000000" w:rsidRPr="00FF0BA8" w:rsidP="00FF0BA8">
      <w:pPr>
        <w:pStyle w:val="ListBullet2"/>
      </w:pPr>
      <w:r w:rsidRPr="00FF0BA8">
        <w:t>mould flows</w:t>
      </w:r>
    </w:p>
    <w:p w:rsidR="00000000" w:rsidRPr="00FF0BA8" w:rsidP="00FF0BA8">
      <w:pPr>
        <w:pStyle w:val="ListBullet2"/>
      </w:pPr>
      <w:r w:rsidRPr="00FF0BA8">
        <w:t>heat dissipation</w:t>
      </w:r>
    </w:p>
    <w:p w:rsidR="00000000" w:rsidRPr="00FF0BA8" w:rsidP="00FF0BA8">
      <w:pPr>
        <w:pStyle w:val="ListBullet"/>
      </w:pPr>
      <w:r w:rsidRPr="00FF0BA8">
        <w:t>injection moulded components</w:t>
      </w:r>
    </w:p>
    <w:p w:rsidR="00000000" w:rsidRPr="00FF0BA8" w:rsidP="00FF0BA8">
      <w:pPr>
        <w:pStyle w:val="ListBullet"/>
      </w:pPr>
      <w:r w:rsidRPr="00FF0BA8">
        <w:t>injection moulds process inclu</w:t>
      </w:r>
      <w:r w:rsidRPr="00FF0BA8">
        <w:t>ding:</w:t>
      </w:r>
    </w:p>
    <w:p w:rsidR="00000000" w:rsidRPr="00FF0BA8" w:rsidP="00FF0BA8">
      <w:pPr>
        <w:pStyle w:val="ListBullet2"/>
      </w:pPr>
      <w:r w:rsidRPr="00FF0BA8">
        <w:t>design features, functions and limitations</w:t>
      </w:r>
    </w:p>
    <w:p w:rsidR="00000000" w:rsidRPr="00FF0BA8" w:rsidP="00FF0BA8">
      <w:pPr>
        <w:pStyle w:val="ListBullet2"/>
      </w:pPr>
      <w:r w:rsidRPr="00FF0BA8">
        <w:t>properties of materials for injection moulded components</w:t>
      </w:r>
    </w:p>
    <w:p w:rsidR="00000000" w:rsidRPr="00FF0BA8" w:rsidP="00FF0BA8">
      <w:pPr>
        <w:pStyle w:val="ListBullet2"/>
      </w:pPr>
      <w:r w:rsidRPr="00FF0BA8">
        <w:t>enhanced injection moulding tools and processes</w:t>
      </w:r>
    </w:p>
    <w:p w:rsidR="00000000" w:rsidRPr="00FF0BA8" w:rsidP="00FF0BA8">
      <w:pPr>
        <w:pStyle w:val="ListBullet"/>
      </w:pPr>
      <w:r w:rsidRPr="00FF0BA8">
        <w:t xml:space="preserve">blow moulds including continuous and intermittent parison extrusion moulding, injection and stretch </w:t>
      </w:r>
      <w:r w:rsidRPr="00FF0BA8">
        <w:t>blow moulds:</w:t>
      </w:r>
    </w:p>
    <w:p w:rsidR="00000000" w:rsidRPr="00FF0BA8" w:rsidP="00FF0BA8">
      <w:pPr>
        <w:pStyle w:val="ListBullet2"/>
      </w:pPr>
      <w:r w:rsidRPr="00FF0BA8">
        <w:t>enhanced blow moulding tools and techniques</w:t>
      </w:r>
    </w:p>
    <w:p w:rsidR="00000000" w:rsidRPr="00FF0BA8" w:rsidP="00FF0BA8">
      <w:pPr>
        <w:pStyle w:val="ListBullet2"/>
      </w:pPr>
      <w:r w:rsidRPr="00FF0BA8">
        <w:t>properties of blow moulding materials</w:t>
      </w:r>
    </w:p>
    <w:p w:rsidR="00000000" w:rsidRPr="00FF0BA8" w:rsidP="00FF0BA8">
      <w:pPr>
        <w:pStyle w:val="ListBullet"/>
      </w:pPr>
      <w:r w:rsidRPr="00FF0BA8">
        <w:t>extrusion moulds including:</w:t>
      </w:r>
    </w:p>
    <w:p w:rsidR="00000000" w:rsidRPr="00FF0BA8" w:rsidP="00FF0BA8">
      <w:pPr>
        <w:pStyle w:val="ListBullet2"/>
      </w:pPr>
      <w:r w:rsidRPr="00FF0BA8">
        <w:t>design features, functions and limitations</w:t>
      </w:r>
    </w:p>
    <w:p w:rsidR="00000000" w:rsidRPr="00FF0BA8" w:rsidP="00FF0BA8">
      <w:pPr>
        <w:pStyle w:val="ListBullet2"/>
      </w:pPr>
      <w:r w:rsidRPr="00FF0BA8">
        <w:t>properties of extruded materials</w:t>
      </w:r>
    </w:p>
    <w:p w:rsidR="00000000" w:rsidRPr="00FF0BA8" w:rsidP="00FF0BA8">
      <w:pPr>
        <w:pStyle w:val="ListBullet"/>
      </w:pPr>
      <w:r w:rsidRPr="00FF0BA8">
        <w:t>compression moulds including compression injection mo</w:t>
      </w:r>
      <w:r w:rsidRPr="00FF0BA8">
        <w:t>ulds:</w:t>
      </w:r>
    </w:p>
    <w:p w:rsidR="00000000" w:rsidRPr="00FF0BA8" w:rsidP="00FF0BA8">
      <w:pPr>
        <w:pStyle w:val="ListBullet2"/>
      </w:pPr>
      <w:r w:rsidRPr="00FF0BA8">
        <w:t>design features functions and limitations</w:t>
      </w:r>
    </w:p>
    <w:p w:rsidR="00000000" w:rsidRPr="00FF0BA8" w:rsidP="00FF0BA8">
      <w:pPr>
        <w:pStyle w:val="ListBullet2"/>
      </w:pPr>
      <w:r w:rsidRPr="00FF0BA8">
        <w:t>properties of materials for compression moulding</w:t>
      </w:r>
    </w:p>
    <w:p w:rsidR="00000000" w:rsidRPr="00FF0BA8" w:rsidP="00FF0BA8">
      <w:pPr>
        <w:pStyle w:val="ListBullet"/>
      </w:pPr>
      <w:r w:rsidRPr="00FF0BA8">
        <w:t>rotating moulds including:</w:t>
      </w:r>
    </w:p>
    <w:p w:rsidR="00000000" w:rsidRPr="00FF0BA8" w:rsidP="00FF0BA8">
      <w:pPr>
        <w:pStyle w:val="ListBullet2"/>
      </w:pPr>
      <w:r w:rsidRPr="00FF0BA8">
        <w:t>design features functions and limitations</w:t>
      </w:r>
    </w:p>
    <w:p w:rsidR="00000000" w:rsidRPr="00FF0BA8" w:rsidP="00FF0BA8">
      <w:pPr>
        <w:pStyle w:val="ListBullet2"/>
      </w:pPr>
      <w:r w:rsidRPr="00FF0BA8">
        <w:t>properties of materials for rotating moulded components, including acetal copolymer (POM)</w:t>
      </w:r>
    </w:p>
    <w:p w:rsidR="00000000" w:rsidRPr="00FF0BA8" w:rsidP="00FF0BA8">
      <w:pPr>
        <w:pStyle w:val="ListBullet"/>
      </w:pPr>
      <w:r w:rsidRPr="00FF0BA8">
        <w:t>thermoforming (vacuum) moulds including:</w:t>
      </w:r>
    </w:p>
    <w:p w:rsidR="00000000" w:rsidRPr="00FF0BA8" w:rsidP="00FF0BA8">
      <w:pPr>
        <w:pStyle w:val="ListBullet2"/>
      </w:pPr>
      <w:r w:rsidRPr="00FF0BA8">
        <w:t>design features, functions and limitations</w:t>
      </w:r>
    </w:p>
    <w:p w:rsidR="00000000" w:rsidRPr="00FF0BA8" w:rsidP="00FF0BA8">
      <w:pPr>
        <w:pStyle w:val="ListBullet2"/>
      </w:pPr>
      <w:r w:rsidRPr="00FF0BA8">
        <w:t>properties of materials for thermoformed components including amorphous thermopl</w:t>
      </w:r>
      <w:r w:rsidRPr="00FF0BA8">
        <w:t>astics and semicrystalline materials, with clearly defined melting points</w:t>
      </w:r>
    </w:p>
    <w:p w:rsidR="00000000" w:rsidRPr="00FF0BA8" w:rsidP="00FF0BA8">
      <w:pPr>
        <w:pStyle w:val="ListBullet"/>
      </w:pPr>
      <w:r w:rsidRPr="00FF0BA8">
        <w:t>low volume moulds including flexible, laid up and sprayed shell moulds</w:t>
      </w:r>
    </w:p>
    <w:p w:rsidR="00000000" w:rsidRPr="00FF0BA8" w:rsidP="00FF0BA8">
      <w:pPr>
        <w:pStyle w:val="ListBullet"/>
      </w:pPr>
      <w:r w:rsidRPr="00FF0BA8">
        <w:t>die casting moulds:</w:t>
      </w:r>
    </w:p>
    <w:p w:rsidR="00000000" w:rsidRPr="00FF0BA8" w:rsidP="00FF0BA8">
      <w:pPr>
        <w:pStyle w:val="ListBullet2"/>
      </w:pPr>
      <w:r w:rsidRPr="00FF0BA8">
        <w:t>design features functions and limitations</w:t>
      </w:r>
    </w:p>
    <w:p w:rsidR="00000000" w:rsidRPr="00FF0BA8" w:rsidP="00FF0BA8">
      <w:pPr>
        <w:pStyle w:val="ListBullet2"/>
      </w:pPr>
      <w:r w:rsidRPr="00FF0BA8">
        <w:t>properties of materials for hot chamber die cas</w:t>
      </w:r>
      <w:r w:rsidRPr="00FF0BA8">
        <w:t>t components</w:t>
      </w:r>
    </w:p>
    <w:p w:rsidR="00000000" w:rsidRPr="00FF0BA8" w:rsidP="00FF0BA8">
      <w:pPr>
        <w:pStyle w:val="ListBullet2"/>
      </w:pPr>
      <w:r w:rsidRPr="00FF0BA8">
        <w:t>properties of materials for cold chamber die cast components</w:t>
      </w:r>
    </w:p>
    <w:p w:rsidR="00000000" w:rsidRPr="00FF0BA8" w:rsidP="00FF0BA8">
      <w:pPr>
        <w:pStyle w:val="ListBullet"/>
      </w:pPr>
      <w:r w:rsidRPr="00FF0BA8">
        <w:t>analysis techniques, software and software validation techniques</w:t>
      </w:r>
    </w:p>
    <w:p w:rsidR="00000000" w:rsidRPr="00FF0BA8" w:rsidP="00FF0BA8">
      <w:pPr>
        <w:pStyle w:val="ListBullet"/>
      </w:pPr>
      <w:r w:rsidRPr="00FF0BA8">
        <w:t>systems thinking, continuous improvement, problem-solving and decision-making, and constraint and contingency manage</w:t>
      </w:r>
      <w:r w:rsidRPr="00FF0BA8">
        <w:t>ment principles and techniques</w:t>
      </w:r>
    </w:p>
    <w:p w:rsidR="0013392E" w:rsidP="00FF0BA8">
      <w:pPr>
        <w:pStyle w:val="ListBullet"/>
      </w:pPr>
      <w:r w:rsidRPr="00FF0BA8">
        <w:t>reporting and documentation requirements.</w:t>
      </w:r>
    </w:p>
    <w:p w:rsidR="0013392E" w:rsidP="00FF0BA8">
      <w:pPr>
        <w:pStyle w:val="ListBullet"/>
      </w:pPr>
    </w:p>
    <w:p w:rsidR="00000000" w:rsidRPr="00FF0BA8" w:rsidP="00FF0BA8">
      <w:pPr>
        <w:pStyle w:val="Heading1"/>
      </w:pPr>
      <w:bookmarkStart w:id="4" w:name="O_944377"/>
      <w:bookmarkEnd w:id="4"/>
      <w:r w:rsidRPr="00FF0BA8">
        <w:t>Assessment Conditions</w:t>
      </w:r>
    </w:p>
    <w:p w:rsidR="00000000" w:rsidRPr="00FF0BA8" w:rsidP="00FF0BA8">
      <w:pPr>
        <w:pStyle w:val="ListBullet"/>
      </w:pPr>
      <w:r w:rsidRPr="00FF0BA8">
        <w:t>Assessors must:</w:t>
      </w:r>
    </w:p>
    <w:p w:rsidR="00000000" w:rsidRPr="00FF0BA8" w:rsidP="00FF0BA8">
      <w:pPr>
        <w:pStyle w:val="ListBullet2"/>
      </w:pPr>
      <w:r w:rsidRPr="00FF0BA8">
        <w:t xml:space="preserve">have vocational competency in evaluating moulding tools and processes at least to the level being </w:t>
      </w:r>
      <w:r w:rsidRPr="00FF0BA8">
        <w:t>assessed with relevant industry knowledge and experience</w:t>
      </w:r>
    </w:p>
    <w:p w:rsidR="00000000" w:rsidRPr="00FF0BA8" w:rsidP="00FF0BA8">
      <w:pPr>
        <w:pStyle w:val="ListBullet2"/>
      </w:pPr>
      <w:r w:rsidRPr="00FF0BA8">
        <w:t xml:space="preserve">satisfy the assessor requirements in the </w:t>
      </w:r>
      <w:r w:rsidRPr="00FF0BA8">
        <w:rPr>
          <w:rStyle w:val="Emphasis"/>
        </w:rPr>
        <w:t xml:space="preserve">Standards for Registered Training Organisations 2015 or its replacement </w:t>
      </w:r>
      <w:r w:rsidRPr="00FF0BA8">
        <w:t xml:space="preserve">and comply with the </w:t>
      </w:r>
      <w:r w:rsidRPr="00FF0BA8">
        <w:rPr>
          <w:rStyle w:val="Emphasis"/>
        </w:rPr>
        <w:t xml:space="preserve">National Vocational Education and Training Regulator Act 2011, </w:t>
      </w:r>
      <w:r w:rsidRPr="00FF0BA8">
        <w:t>its</w:t>
      </w:r>
      <w:r w:rsidRPr="00FF0BA8">
        <w:t xml:space="preserve"> replacement</w:t>
      </w:r>
      <w:r w:rsidRPr="00FF0BA8">
        <w:rPr>
          <w:rStyle w:val="Emphasis"/>
        </w:rPr>
        <w:t xml:space="preserve"> </w:t>
      </w:r>
      <w:r w:rsidRPr="00FF0BA8">
        <w:t>or equivalent legislation covering VET regulation in a non-referring state/territory as the case requires.</w:t>
      </w:r>
    </w:p>
    <w:p w:rsidR="00000000" w:rsidRPr="00FF0BA8" w:rsidP="00FF0BA8">
      <w:pPr>
        <w:pStyle w:val="ListBullet"/>
      </w:pPr>
      <w:r w:rsidRPr="00FF0BA8">
        <w:t>Where possible assessment must occur in operational workplace situations. Where this is not possible or where personal safety or enviro</w:t>
      </w:r>
      <w:r w:rsidRPr="00FF0BA8">
        <w:t>nmental damage are limiting factors, assessment must occur in a sufficiently rigorous simulated environment that reflects realistic operational workplace conditions that cover all aspects of workplace performance, including environment, task skills, task m</w:t>
      </w:r>
      <w:r w:rsidRPr="00FF0BA8">
        <w:t>anagement skills, contingency management skills and job role environment skills.</w:t>
      </w:r>
    </w:p>
    <w:p w:rsidR="00000000" w:rsidRPr="00FF0BA8" w:rsidP="00FF0BA8">
      <w:pPr>
        <w:pStyle w:val="ListBullet"/>
      </w:pPr>
      <w:r w:rsidRPr="00FF0BA8">
        <w:t xml:space="preserve">Conditions for assessment must include access to all tools, equipment, materials and documentation required including relevant workplace procedures, product and manufacturing </w:t>
      </w:r>
      <w:r w:rsidRPr="00FF0BA8">
        <w:t>specifications.</w:t>
      </w:r>
    </w:p>
    <w:p w:rsidR="0013392E" w:rsidP="00FF0BA8">
      <w:pPr>
        <w:pStyle w:val="ListBullet"/>
      </w:pPr>
      <w:r w:rsidRPr="00FF0BA8">
        <w:t>Assessment processes and techniques must be appropriate to the language, literacy and numeracy requirements of the work being performed and the needs of the candidate.</w:t>
      </w:r>
    </w:p>
    <w:p w:rsidR="0013392E" w:rsidP="00FF0BA8">
      <w:pPr>
        <w:pStyle w:val="ListBullet"/>
      </w:pPr>
    </w:p>
    <w:p w:rsidR="00000000" w:rsidRPr="00FF0BA8" w:rsidP="00FF0BA8">
      <w:pPr>
        <w:pStyle w:val="Heading1"/>
      </w:pPr>
      <w:bookmarkStart w:id="5" w:name="O_944375"/>
      <w:bookmarkEnd w:id="5"/>
      <w:r w:rsidRPr="00FF0BA8">
        <w:t>Links</w:t>
      </w:r>
    </w:p>
    <w:p w:rsidR="00000000" w:rsidRPr="00FF0BA8" w:rsidP="0013392E">
      <w:pPr>
        <w:pStyle w:val="BodyText"/>
      </w:pPr>
      <w:r w:rsidRPr="00FF0BA8">
        <w:t>Companion Volume Implementation Guides are avail</w:t>
      </w:r>
      <w:r w:rsidRPr="00FF0BA8">
        <w:t xml:space="preserve">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7B3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0BA8" w:rsidP="00FF0BA8"/>
    <w:sectPr w:rsidSect="00FF0B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 w:rsidRPr="0013392E" w:rsidP="00133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2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BA8" w:rsidRPr="0013392E" w:rsidP="00133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2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E8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2B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65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BA8"/>
  </w:style>
  <w:style w:type="character" w:customStyle="1" w:styleId="Heading1Char">
    <w:name w:val="Heading 1 Char"/>
    <w:basedOn w:val="DefaultParagraphFont"/>
    <w:link w:val="Heading1"/>
    <w:rsid w:val="00FF0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B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0B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0BA8"/>
    <w:rPr>
      <w:i/>
    </w:rPr>
  </w:style>
  <w:style w:type="paragraph" w:customStyle="1" w:styleId="SuperHeading">
    <w:name w:val="SuperHeading"/>
    <w:basedOn w:val="Normal"/>
    <w:rsid w:val="00FF0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0BA8"/>
    <w:rPr>
      <w:b/>
      <w:spacing w:val="0"/>
    </w:rPr>
  </w:style>
  <w:style w:type="paragraph" w:customStyle="1" w:styleId="SuperTitle">
    <w:name w:val="SuperTitle"/>
    <w:basedOn w:val="Title"/>
    <w:rsid w:val="00FF0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BA8"/>
  </w:style>
  <w:style w:type="paragraph" w:styleId="TableofFigures">
    <w:name w:val="table of figures"/>
    <w:basedOn w:val="Normal"/>
    <w:next w:val="Normal"/>
    <w:semiHidden/>
    <w:rsid w:val="00FF0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B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BA8"/>
    <w:rPr>
      <w:rFonts w:ascii="Wingdings" w:hAnsi="Wingdings"/>
    </w:rPr>
  </w:style>
  <w:style w:type="paragraph" w:customStyle="1" w:styleId="TableHeading">
    <w:name w:val="Table Heading"/>
    <w:basedOn w:val="HeadingBase"/>
    <w:rsid w:val="00FF0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BA8"/>
    <w:rPr>
      <w:color w:val="0033CC"/>
      <w:u w:val="none"/>
    </w:rPr>
  </w:style>
  <w:style w:type="paragraph" w:customStyle="1" w:styleId="BodyTextRight">
    <w:name w:val="Body Text Right"/>
    <w:basedOn w:val="BodyText"/>
    <w:rsid w:val="00FF0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B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BA8"/>
    <w:rPr>
      <w:sz w:val="32"/>
    </w:rPr>
  </w:style>
  <w:style w:type="paragraph" w:customStyle="1" w:styleId="HeadingProcedure">
    <w:name w:val="Heading Procedure"/>
    <w:basedOn w:val="HeadingBase"/>
    <w:next w:val="Normal"/>
    <w:rsid w:val="00FF0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BA8"/>
    <w:pPr>
      <w:spacing w:before="60" w:after="60"/>
    </w:pPr>
  </w:style>
  <w:style w:type="paragraph" w:styleId="ListContinue">
    <w:name w:val="List Continue"/>
    <w:basedOn w:val="List"/>
    <w:rsid w:val="00FF0BA8"/>
    <w:pPr>
      <w:ind w:firstLine="0"/>
    </w:pPr>
  </w:style>
  <w:style w:type="paragraph" w:customStyle="1" w:styleId="ListNote">
    <w:name w:val="List Note"/>
    <w:basedOn w:val="List"/>
    <w:rsid w:val="00FF0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BA8"/>
    <w:rPr>
      <w:rFonts w:ascii="Courier New" w:hAnsi="Courier New"/>
    </w:rPr>
  </w:style>
  <w:style w:type="paragraph" w:customStyle="1" w:styleId="NoteBullet">
    <w:name w:val="Note Bullet"/>
    <w:basedOn w:val="Note"/>
    <w:rsid w:val="00FF0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B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BA8"/>
    <w:rPr>
      <w:b/>
      <w:smallCaps/>
    </w:rPr>
  </w:style>
  <w:style w:type="paragraph" w:customStyle="1" w:styleId="TableListNumber">
    <w:name w:val="Table List Number"/>
    <w:basedOn w:val="ListNumber"/>
    <w:rsid w:val="00FF0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BA8"/>
    <w:pPr>
      <w:numPr>
        <w:numId w:val="9"/>
      </w:numPr>
    </w:pPr>
  </w:style>
  <w:style w:type="paragraph" w:customStyle="1" w:styleId="ListAlpha2">
    <w:name w:val="List Alpha 2"/>
    <w:basedOn w:val="List2"/>
    <w:rsid w:val="00FF0BA8"/>
    <w:pPr>
      <w:numPr>
        <w:numId w:val="8"/>
      </w:numPr>
    </w:pPr>
  </w:style>
  <w:style w:type="paragraph" w:styleId="List2">
    <w:name w:val="List 2"/>
    <w:basedOn w:val="BodyText"/>
    <w:rsid w:val="00FF0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B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B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BA8"/>
    <w:pPr>
      <w:numPr>
        <w:numId w:val="4"/>
      </w:numPr>
    </w:pPr>
  </w:style>
  <w:style w:type="paragraph" w:styleId="ListContinue2">
    <w:name w:val="List Continue 2"/>
    <w:basedOn w:val="List2"/>
    <w:rsid w:val="00FF0BA8"/>
    <w:pPr>
      <w:ind w:firstLine="0"/>
    </w:pPr>
  </w:style>
  <w:style w:type="paragraph" w:styleId="ListContinue3">
    <w:name w:val="List Continue 3"/>
    <w:basedOn w:val="List3"/>
    <w:rsid w:val="00FF0BA8"/>
    <w:pPr>
      <w:ind w:left="1021" w:firstLine="0"/>
    </w:pPr>
  </w:style>
  <w:style w:type="paragraph" w:styleId="ListContinue4">
    <w:name w:val="List Continue 4"/>
    <w:basedOn w:val="List4"/>
    <w:rsid w:val="00FF0BA8"/>
    <w:pPr>
      <w:ind w:firstLine="0"/>
    </w:pPr>
  </w:style>
  <w:style w:type="paragraph" w:styleId="ListContinue5">
    <w:name w:val="List Continue 5"/>
    <w:basedOn w:val="List5"/>
    <w:rsid w:val="00FF0BA8"/>
    <w:pPr>
      <w:ind w:firstLine="0"/>
    </w:pPr>
  </w:style>
  <w:style w:type="paragraph" w:styleId="ListNumber3">
    <w:name w:val="List Number 3"/>
    <w:basedOn w:val="List3"/>
    <w:rsid w:val="00FF0BA8"/>
    <w:pPr>
      <w:numPr>
        <w:numId w:val="5"/>
      </w:numPr>
    </w:pPr>
  </w:style>
  <w:style w:type="paragraph" w:styleId="ListNumber4">
    <w:name w:val="List Number 4"/>
    <w:basedOn w:val="List4"/>
    <w:rsid w:val="00FF0BA8"/>
    <w:pPr>
      <w:numPr>
        <w:numId w:val="6"/>
      </w:numPr>
    </w:pPr>
  </w:style>
  <w:style w:type="paragraph" w:styleId="ListNumber5">
    <w:name w:val="List Number 5"/>
    <w:basedOn w:val="List5"/>
    <w:rsid w:val="00FF0BA8"/>
    <w:pPr>
      <w:numPr>
        <w:numId w:val="7"/>
      </w:numPr>
    </w:pPr>
  </w:style>
  <w:style w:type="paragraph" w:styleId="BlockText">
    <w:name w:val="Block Text"/>
    <w:basedOn w:val="Normal"/>
    <w:rsid w:val="00FF0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BA8"/>
    <w:rPr>
      <w:sz w:val="16"/>
      <w:vertAlign w:val="superscript"/>
    </w:rPr>
  </w:style>
  <w:style w:type="character" w:customStyle="1" w:styleId="Symbols">
    <w:name w:val="Symbols"/>
    <w:basedOn w:val="DefaultParagraphFont"/>
    <w:rsid w:val="00FF0BA8"/>
    <w:rPr>
      <w:rFonts w:ascii="Symbol" w:hAnsi="Symbol"/>
    </w:rPr>
  </w:style>
  <w:style w:type="character" w:customStyle="1" w:styleId="MenuOptions">
    <w:name w:val="Menu Options"/>
    <w:basedOn w:val="DefaultParagraphFont"/>
    <w:rsid w:val="00FF0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BA8"/>
    <w:rPr>
      <w:b/>
    </w:rPr>
  </w:style>
  <w:style w:type="character" w:customStyle="1" w:styleId="Underlined">
    <w:name w:val="Underlined"/>
    <w:basedOn w:val="DefaultParagraphFont"/>
    <w:rsid w:val="00FF0BA8"/>
    <w:rPr>
      <w:u w:val="single"/>
    </w:rPr>
  </w:style>
  <w:style w:type="paragraph" w:customStyle="1" w:styleId="TableBodyTextRight">
    <w:name w:val="Table Body Text Right"/>
    <w:basedOn w:val="TableBodyText"/>
    <w:rsid w:val="00FF0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BA8"/>
    <w:rPr>
      <w:sz w:val="18"/>
    </w:rPr>
  </w:style>
  <w:style w:type="paragraph" w:customStyle="1" w:styleId="BodySmallRight">
    <w:name w:val="Body Small Right"/>
    <w:basedOn w:val="BodyTextRight"/>
    <w:rsid w:val="00FF0BA8"/>
    <w:rPr>
      <w:sz w:val="18"/>
      <w:szCs w:val="18"/>
    </w:rPr>
  </w:style>
  <w:style w:type="paragraph" w:customStyle="1" w:styleId="MarginEdition">
    <w:name w:val="Margin Edition"/>
    <w:basedOn w:val="MarginNote"/>
    <w:rsid w:val="00FF0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BA8"/>
    <w:rPr>
      <w:sz w:val="2"/>
      <w:szCs w:val="2"/>
    </w:rPr>
  </w:style>
  <w:style w:type="character" w:customStyle="1" w:styleId="Small">
    <w:name w:val="Small"/>
    <w:basedOn w:val="DefaultParagraphFont"/>
    <w:rsid w:val="00FF0BA8"/>
    <w:rPr>
      <w:sz w:val="16"/>
    </w:rPr>
  </w:style>
  <w:style w:type="paragraph" w:customStyle="1" w:styleId="WideTable">
    <w:name w:val="Wide Table"/>
    <w:basedOn w:val="Normal"/>
    <w:rsid w:val="00FF0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BA8"/>
  </w:style>
  <w:style w:type="paragraph" w:styleId="Quote">
    <w:name w:val="Quote"/>
    <w:basedOn w:val="Heading1"/>
    <w:link w:val="QuoteChar"/>
    <w:qFormat/>
    <w:rsid w:val="00FF0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BA8"/>
    <w:pPr>
      <w:pageBreakBefore/>
    </w:pPr>
  </w:style>
  <w:style w:type="paragraph" w:customStyle="1" w:styleId="Border">
    <w:name w:val="Border"/>
    <w:basedOn w:val="Normal"/>
    <w:qFormat/>
    <w:rsid w:val="00FF0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BA8"/>
    <w:rPr>
      <w:u w:val="single"/>
    </w:rPr>
  </w:style>
  <w:style w:type="character" w:customStyle="1" w:styleId="BoldandItalics">
    <w:name w:val="Bold and Italics"/>
    <w:qFormat/>
    <w:rsid w:val="00FF0BA8"/>
    <w:rPr>
      <w:b/>
      <w:i/>
      <w:u w:val="none"/>
    </w:rPr>
  </w:style>
  <w:style w:type="paragraph" w:styleId="BalloonText">
    <w:name w:val="Balloon Text"/>
    <w:basedOn w:val="Normal"/>
    <w:link w:val="BalloonTextChar"/>
    <w:rsid w:val="00FF0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BA8"/>
    <w:pPr>
      <w:spacing w:before="0" w:after="0"/>
    </w:pPr>
  </w:style>
  <w:style w:type="paragraph" w:customStyle="1" w:styleId="BodyTextBold">
    <w:name w:val="Body Text Bold"/>
    <w:basedOn w:val="BodyText"/>
    <w:qFormat/>
    <w:rsid w:val="00FF0BA8"/>
    <w:rPr>
      <w:b/>
    </w:rPr>
  </w:style>
  <w:style w:type="character" w:styleId="Hyperlink">
    <w:name w:val="Hyperlink"/>
    <w:basedOn w:val="DefaultParagraphFont"/>
    <w:uiPriority w:val="99"/>
    <w:unhideWhenUsed/>
    <w:rsid w:val="00133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4782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MEM23135 Evaluate moulding tools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