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041" w:rsidP="00D82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MEM23131 Evaluate rapid prototyping applications</w:t>
      </w:r>
      <w:r>
        <w:fldChar w:fldCharType="end"/>
      </w:r>
    </w:p>
    <w:p w:rsidR="00D82041" w:rsidP="00D82041">
      <w:pPr>
        <w:pStyle w:val="Version"/>
        <w:sectPr w:rsidSect="00324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17C" w:rsidP="0032417C">
      <w:pPr>
        <w:pStyle w:val="SuperHeading"/>
      </w:pPr>
      <w:r w:rsidRPr="0032417C">
        <w:t>Assessment Requirements for MEM23131 Evaluate rapid prototyping applications</w:t>
      </w:r>
    </w:p>
    <w:p w:rsidR="00000000" w:rsidRPr="0032417C" w:rsidP="0032417C">
      <w:pPr>
        <w:pStyle w:val="Heading1"/>
      </w:pPr>
      <w:bookmarkStart w:id="1" w:name="O_944300"/>
      <w:bookmarkEnd w:id="1"/>
      <w:r w:rsidRPr="0032417C">
        <w:t>Modification History</w:t>
      </w:r>
    </w:p>
    <w:p w:rsidR="00D82041" w:rsidP="00D82041">
      <w:pPr>
        <w:pStyle w:val="BodyText"/>
      </w:pPr>
      <w:r w:rsidRPr="0032417C">
        <w:t>Release 1. Supersedes and is equivalent to MEM23131A Evaluate rapid prototyping applications.</w:t>
      </w:r>
    </w:p>
    <w:p w:rsidR="00000000" w:rsidRPr="0032417C" w:rsidP="0032417C">
      <w:pPr>
        <w:pStyle w:val="Heading1"/>
      </w:pPr>
      <w:bookmarkStart w:id="2" w:name="O_944303"/>
      <w:bookmarkEnd w:id="2"/>
      <w:r w:rsidRPr="0032417C">
        <w:t>Performance Evidence</w:t>
      </w:r>
    </w:p>
    <w:p w:rsidR="00000000" w:rsidRPr="0032417C" w:rsidP="00D82041">
      <w:pPr>
        <w:pStyle w:val="BodyText"/>
      </w:pPr>
      <w:r w:rsidRPr="0032417C">
        <w:t>Evidence required to demonstrate competence in this unit must be relevant to and satisfy the requirements of the elements and performance criteria and include:</w:t>
      </w:r>
    </w:p>
    <w:p w:rsidR="00000000" w:rsidRPr="0032417C" w:rsidP="0032417C">
      <w:pPr>
        <w:pStyle w:val="ListBullet"/>
      </w:pPr>
      <w:r w:rsidRPr="0032417C">
        <w:t>determining technologies, parameters and context of rapid prototyping applications</w:t>
      </w:r>
    </w:p>
    <w:p w:rsidR="00000000" w:rsidRPr="0032417C" w:rsidP="0032417C">
      <w:pPr>
        <w:pStyle w:val="ListBullet"/>
      </w:pPr>
      <w:r w:rsidRPr="0032417C">
        <w:t>evaluating s</w:t>
      </w:r>
      <w:r w:rsidRPr="0032417C">
        <w:t>uitability of a rapid prototyping application against alternative processes</w:t>
      </w:r>
    </w:p>
    <w:p w:rsidR="00000000" w:rsidRPr="0032417C" w:rsidP="0032417C">
      <w:pPr>
        <w:pStyle w:val="ListBullet"/>
      </w:pPr>
      <w:r w:rsidRPr="0032417C">
        <w:t>reviewing features and functions of rapid prototyping processes</w:t>
      </w:r>
    </w:p>
    <w:p w:rsidR="00000000" w:rsidRPr="0032417C" w:rsidP="0032417C">
      <w:pPr>
        <w:pStyle w:val="ListBullet"/>
      </w:pPr>
      <w:r w:rsidRPr="0032417C">
        <w:t xml:space="preserve">selecting appropriate rapid prototyping principles and techniques, analysis techniques and software on at least two </w:t>
      </w:r>
      <w:r w:rsidRPr="0032417C">
        <w:t>occasions</w:t>
      </w:r>
    </w:p>
    <w:p w:rsidR="00000000" w:rsidRPr="0032417C" w:rsidP="0032417C">
      <w:pPr>
        <w:pStyle w:val="ListBullet"/>
      </w:pPr>
      <w:r w:rsidRPr="0032417C">
        <w:t>determining work health and safety (WHS) and regulatory requirements, and risk management and organisational procedures</w:t>
      </w:r>
    </w:p>
    <w:p w:rsidR="00000000" w:rsidRPr="0032417C" w:rsidP="0032417C">
      <w:pPr>
        <w:pStyle w:val="ListBullet"/>
      </w:pPr>
      <w:r w:rsidRPr="0032417C">
        <w:t>assessing software, facilities, plant, tooling and materials</w:t>
      </w:r>
    </w:p>
    <w:p w:rsidR="00000000" w:rsidRPr="0032417C" w:rsidP="0032417C">
      <w:pPr>
        <w:pStyle w:val="ListBullet"/>
      </w:pPr>
      <w:r w:rsidRPr="0032417C">
        <w:t xml:space="preserve">analysing labour and skills distribution requirements, degree of </w:t>
      </w:r>
      <w:r w:rsidRPr="0032417C">
        <w:t>automation and competitiveness, costs and break-even</w:t>
      </w:r>
    </w:p>
    <w:p w:rsidR="00000000" w:rsidRPr="0032417C" w:rsidP="0032417C">
      <w:pPr>
        <w:pStyle w:val="ListBullet"/>
      </w:pPr>
      <w:r w:rsidRPr="0032417C">
        <w:t>evaluating rapid prototyping against alternative methods and technologies on at least two occasions</w:t>
      </w:r>
    </w:p>
    <w:p w:rsidR="00000000" w:rsidRPr="0032417C" w:rsidP="0032417C">
      <w:pPr>
        <w:pStyle w:val="ListBullet"/>
      </w:pPr>
      <w:r w:rsidRPr="0032417C">
        <w:t>reporting and documenting results of evaluation.</w:t>
      </w:r>
    </w:p>
    <w:p w:rsidR="00D82041" w:rsidP="00D82041">
      <w:pPr>
        <w:pStyle w:val="BodyText"/>
      </w:pPr>
      <w:r w:rsidRPr="0032417C">
        <w:t>Note: Where a volume and/or frequency is not specified</w:t>
      </w:r>
      <w:r w:rsidRPr="0032417C">
        <w:t>, demonstration must be provided at least once</w:t>
      </w:r>
      <w:r w:rsidRPr="0032417C">
        <w:rPr>
          <w:rStyle w:val="Emphasis"/>
        </w:rPr>
        <w:t>.</w:t>
      </w:r>
    </w:p>
    <w:p w:rsidR="00000000" w:rsidRPr="0032417C" w:rsidP="0032417C">
      <w:pPr>
        <w:pStyle w:val="Heading1"/>
      </w:pPr>
      <w:bookmarkStart w:id="3" w:name="O_944302"/>
      <w:bookmarkEnd w:id="3"/>
      <w:r w:rsidRPr="0032417C">
        <w:t>Knowledge Evidence</w:t>
      </w:r>
    </w:p>
    <w:p w:rsidR="00000000" w:rsidRPr="0032417C" w:rsidP="00D82041">
      <w:pPr>
        <w:pStyle w:val="BodyText"/>
      </w:pPr>
      <w:r w:rsidRPr="0032417C">
        <w:t>Evidence required to demonstrate the required knowledge for this unit must be relevant to and satisfy the requirements of the elements and performance criteria and include</w:t>
      </w:r>
      <w:r w:rsidRPr="0032417C">
        <w:t xml:space="preserve"> knowledge of:</w:t>
      </w:r>
    </w:p>
    <w:p w:rsidR="00000000" w:rsidRPr="0032417C" w:rsidP="0032417C">
      <w:pPr>
        <w:pStyle w:val="ListBullet"/>
      </w:pPr>
      <w:r w:rsidRPr="0032417C">
        <w:t>rapid prototyping applications</w:t>
      </w:r>
    </w:p>
    <w:p w:rsidR="00000000" w:rsidRPr="0032417C" w:rsidP="0032417C">
      <w:pPr>
        <w:pStyle w:val="ListBullet"/>
      </w:pPr>
      <w:r w:rsidRPr="0032417C">
        <w:t>range, features and applications of rapid prototyping processes including:</w:t>
      </w:r>
    </w:p>
    <w:p w:rsidR="00000000" w:rsidRPr="0032417C" w:rsidP="0032417C">
      <w:pPr>
        <w:pStyle w:val="ListBullet2"/>
      </w:pPr>
      <w:r w:rsidRPr="0032417C">
        <w:t>digitisers and reverse engineering processes</w:t>
      </w:r>
    </w:p>
    <w:p w:rsidR="00000000" w:rsidRPr="0032417C" w:rsidP="0032417C">
      <w:pPr>
        <w:pStyle w:val="ListBullet2"/>
      </w:pPr>
      <w:r w:rsidRPr="0032417C">
        <w:t>selective laser sintering (SLS)</w:t>
      </w:r>
    </w:p>
    <w:p w:rsidR="00000000" w:rsidRPr="0032417C" w:rsidP="0032417C">
      <w:pPr>
        <w:pStyle w:val="ListBullet2"/>
      </w:pPr>
      <w:r w:rsidRPr="0032417C">
        <w:t>fused deposition modelling (FDM)</w:t>
      </w:r>
    </w:p>
    <w:p w:rsidR="00000000" w:rsidRPr="0032417C" w:rsidP="0032417C">
      <w:pPr>
        <w:pStyle w:val="ListBullet2"/>
      </w:pPr>
      <w:r w:rsidRPr="0032417C">
        <w:t>stereolithography (SLA)</w:t>
      </w:r>
    </w:p>
    <w:p w:rsidR="00000000" w:rsidRPr="0032417C" w:rsidP="0032417C">
      <w:pPr>
        <w:pStyle w:val="ListBullet2"/>
      </w:pPr>
      <w:r w:rsidRPr="0032417C">
        <w:t>laminated object manufacturing (LOM)</w:t>
      </w:r>
    </w:p>
    <w:p w:rsidR="00000000" w:rsidRPr="0032417C" w:rsidP="0032417C">
      <w:pPr>
        <w:pStyle w:val="ListBullet2"/>
      </w:pPr>
      <w:r w:rsidRPr="0032417C">
        <w:t>electron beam melting (EBM)</w:t>
      </w:r>
    </w:p>
    <w:p w:rsidR="00000000" w:rsidRPr="0032417C" w:rsidP="0032417C">
      <w:pPr>
        <w:pStyle w:val="ListBullet2"/>
      </w:pPr>
      <w:r w:rsidRPr="0032417C">
        <w:t>3D printing (3DP)</w:t>
      </w:r>
    </w:p>
    <w:p w:rsidR="00000000" w:rsidRPr="0032417C" w:rsidP="0032417C">
      <w:pPr>
        <w:pStyle w:val="ListBullet2"/>
      </w:pPr>
      <w:r w:rsidRPr="0032417C">
        <w:t>solid freeform fabrication</w:t>
      </w:r>
    </w:p>
    <w:p w:rsidR="00000000" w:rsidRPr="0032417C" w:rsidP="0032417C">
      <w:pPr>
        <w:pStyle w:val="ListBullet2"/>
      </w:pPr>
      <w:r w:rsidRPr="0032417C">
        <w:t>sprayed metal deposition</w:t>
      </w:r>
    </w:p>
    <w:p w:rsidR="00000000" w:rsidRPr="0032417C" w:rsidP="0032417C">
      <w:pPr>
        <w:pStyle w:val="ListBullet2"/>
      </w:pPr>
      <w:r w:rsidRPr="0032417C">
        <w:t>direct metal deposition (DMD)</w:t>
      </w:r>
    </w:p>
    <w:p w:rsidR="00000000" w:rsidRPr="0032417C" w:rsidP="0032417C">
      <w:pPr>
        <w:pStyle w:val="ListBullet2"/>
      </w:pPr>
      <w:r w:rsidRPr="0032417C">
        <w:t>casting (patternless and rapid pattern processes)</w:t>
      </w:r>
    </w:p>
    <w:p w:rsidR="00000000" w:rsidRPr="0032417C" w:rsidP="0032417C">
      <w:pPr>
        <w:pStyle w:val="ListBullet2"/>
      </w:pPr>
      <w:r w:rsidRPr="0032417C">
        <w:t>vacuum forming</w:t>
      </w:r>
    </w:p>
    <w:p w:rsidR="00000000" w:rsidRPr="0032417C" w:rsidP="0032417C">
      <w:pPr>
        <w:pStyle w:val="ListBullet2"/>
      </w:pPr>
      <w:r w:rsidRPr="0032417C">
        <w:t>rapid machining (subtract</w:t>
      </w:r>
      <w:r w:rsidRPr="0032417C">
        <w:t>ive) options</w:t>
      </w:r>
    </w:p>
    <w:p w:rsidR="00000000" w:rsidRPr="0032417C" w:rsidP="0032417C">
      <w:pPr>
        <w:pStyle w:val="ListBullet2"/>
      </w:pPr>
      <w:r w:rsidRPr="0032417C">
        <w:t>rapid cutting options, including computer driven gas and laser cutting</w:t>
      </w:r>
    </w:p>
    <w:p w:rsidR="00000000" w:rsidRPr="0032417C" w:rsidP="0032417C">
      <w:pPr>
        <w:pStyle w:val="ListBullet2"/>
      </w:pPr>
      <w:r w:rsidRPr="0032417C">
        <w:t>robot and auto welding</w:t>
      </w:r>
    </w:p>
    <w:p w:rsidR="00000000" w:rsidRPr="0032417C" w:rsidP="0032417C">
      <w:pPr>
        <w:pStyle w:val="ListBullet"/>
      </w:pPr>
      <w:r w:rsidRPr="0032417C">
        <w:t>common applications for rapid prototyping including:</w:t>
      </w:r>
    </w:p>
    <w:p w:rsidR="00000000" w:rsidRPr="0032417C" w:rsidP="0032417C">
      <w:pPr>
        <w:pStyle w:val="ListBullet2"/>
      </w:pPr>
      <w:r w:rsidRPr="0032417C">
        <w:t>concept modelling</w:t>
      </w:r>
    </w:p>
    <w:p w:rsidR="00000000" w:rsidRPr="0032417C" w:rsidP="0032417C">
      <w:pPr>
        <w:pStyle w:val="ListBullet2"/>
      </w:pPr>
      <w:r w:rsidRPr="0032417C">
        <w:t>multiple design iterations at low cost</w:t>
      </w:r>
    </w:p>
    <w:p w:rsidR="00000000" w:rsidRPr="0032417C" w:rsidP="0032417C">
      <w:pPr>
        <w:pStyle w:val="ListBullet2"/>
      </w:pPr>
      <w:r w:rsidRPr="0032417C">
        <w:t>form, fit and function testing prior to committing to tooling</w:t>
      </w:r>
    </w:p>
    <w:p w:rsidR="00000000" w:rsidRPr="0032417C" w:rsidP="0032417C">
      <w:pPr>
        <w:pStyle w:val="ListBullet2"/>
      </w:pPr>
      <w:r w:rsidRPr="0032417C">
        <w:t>market design verification prior to mass production</w:t>
      </w:r>
    </w:p>
    <w:p w:rsidR="00000000" w:rsidRPr="0032417C" w:rsidP="0032417C">
      <w:pPr>
        <w:pStyle w:val="ListBullet2"/>
      </w:pPr>
      <w:r w:rsidRPr="0032417C">
        <w:t>masters for vacuum forming and investment casting</w:t>
      </w:r>
    </w:p>
    <w:p w:rsidR="00000000" w:rsidRPr="0032417C" w:rsidP="0032417C">
      <w:pPr>
        <w:pStyle w:val="ListBullet2"/>
      </w:pPr>
      <w:r w:rsidRPr="0032417C">
        <w:t>one piece thermoplastic jigs and fixtures</w:t>
      </w:r>
    </w:p>
    <w:p w:rsidR="00000000" w:rsidRPr="0032417C" w:rsidP="0032417C">
      <w:pPr>
        <w:pStyle w:val="ListBullet2"/>
      </w:pPr>
      <w:r w:rsidRPr="0032417C">
        <w:t>one-off full-strength plastic, cast, direct deposi</w:t>
      </w:r>
      <w:r w:rsidRPr="0032417C">
        <w:t xml:space="preserve">ted metal or sprayed metal components </w:t>
      </w:r>
    </w:p>
    <w:p w:rsidR="00000000" w:rsidRPr="0032417C" w:rsidP="0032417C">
      <w:pPr>
        <w:pStyle w:val="ListBullet"/>
      </w:pPr>
      <w:r w:rsidRPr="0032417C">
        <w:t>sources of technical and professional assistance</w:t>
      </w:r>
    </w:p>
    <w:p w:rsidR="00000000" w:rsidRPr="0032417C" w:rsidP="0032417C">
      <w:pPr>
        <w:pStyle w:val="ListBullet"/>
      </w:pPr>
      <w:r w:rsidRPr="0032417C">
        <w:t>sustainability implications of rapid prototyping applications and processes</w:t>
      </w:r>
    </w:p>
    <w:p w:rsidR="00000000" w:rsidRPr="0032417C" w:rsidP="0032417C">
      <w:pPr>
        <w:pStyle w:val="ListBullet"/>
      </w:pPr>
      <w:r w:rsidRPr="0032417C">
        <w:t>rapid prototyping principles, techniques and software</w:t>
      </w:r>
    </w:p>
    <w:p w:rsidR="00000000" w:rsidRPr="0032417C" w:rsidP="0032417C">
      <w:pPr>
        <w:pStyle w:val="ListBullet"/>
      </w:pPr>
      <w:r w:rsidRPr="0032417C">
        <w:t>WHS, regulatory and risk management r</w:t>
      </w:r>
      <w:r w:rsidRPr="0032417C">
        <w:t>equirements relevant to rapid prototyping applications</w:t>
      </w:r>
    </w:p>
    <w:p w:rsidR="00000000" w:rsidRPr="0032417C" w:rsidP="0032417C">
      <w:pPr>
        <w:pStyle w:val="ListBullet"/>
      </w:pPr>
      <w:r w:rsidRPr="0032417C">
        <w:t xml:space="preserve">facilities, services, plant and tooling required for rapid prototyping applications </w:t>
      </w:r>
    </w:p>
    <w:p w:rsidR="00000000" w:rsidRPr="0032417C" w:rsidP="0032417C">
      <w:pPr>
        <w:pStyle w:val="ListBullet"/>
      </w:pPr>
      <w:r w:rsidRPr="0032417C">
        <w:t>materials used in additive ‘printing’ processes</w:t>
      </w:r>
    </w:p>
    <w:p w:rsidR="00000000" w:rsidRPr="0032417C" w:rsidP="0032417C">
      <w:pPr>
        <w:pStyle w:val="ListBullet"/>
      </w:pPr>
      <w:r w:rsidRPr="0032417C">
        <w:t>materials for sprayed metal deposition</w:t>
      </w:r>
    </w:p>
    <w:p w:rsidR="00000000" w:rsidRPr="0032417C" w:rsidP="0032417C">
      <w:pPr>
        <w:pStyle w:val="ListBullet"/>
      </w:pPr>
      <w:r w:rsidRPr="0032417C">
        <w:t>materials for rapid casting</w:t>
      </w:r>
    </w:p>
    <w:p w:rsidR="00000000" w:rsidRPr="0032417C" w:rsidP="0032417C">
      <w:pPr>
        <w:pStyle w:val="ListBullet"/>
      </w:pPr>
      <w:r w:rsidRPr="0032417C">
        <w:t>other materials including:</w:t>
      </w:r>
    </w:p>
    <w:p w:rsidR="00000000" w:rsidRPr="0032417C" w:rsidP="0032417C">
      <w:pPr>
        <w:pStyle w:val="ListBullet2"/>
      </w:pPr>
      <w:r w:rsidRPr="0032417C">
        <w:t>thermoplastics for vacuum forming</w:t>
      </w:r>
    </w:p>
    <w:p w:rsidR="00000000" w:rsidRPr="0032417C" w:rsidP="0032417C">
      <w:pPr>
        <w:pStyle w:val="ListBullet2"/>
      </w:pPr>
      <w:r w:rsidRPr="0032417C">
        <w:t>materials for rapid machining and fabrication</w:t>
      </w:r>
    </w:p>
    <w:p w:rsidR="00000000" w:rsidRPr="0032417C" w:rsidP="0032417C">
      <w:pPr>
        <w:pStyle w:val="ListBullet"/>
      </w:pPr>
      <w:r w:rsidRPr="0032417C">
        <w:t>component design processes and computer-aided design (CAD) techniques relevant to rapid prototyping processes and applications including:</w:t>
      </w:r>
    </w:p>
    <w:p w:rsidR="00000000" w:rsidRPr="0032417C" w:rsidP="0032417C">
      <w:pPr>
        <w:pStyle w:val="ListBullet2"/>
      </w:pPr>
      <w:r w:rsidRPr="0032417C">
        <w:t>size lim</w:t>
      </w:r>
      <w:r w:rsidRPr="0032417C">
        <w:t>itations</w:t>
      </w:r>
    </w:p>
    <w:p w:rsidR="00000000" w:rsidRPr="0032417C" w:rsidP="0032417C">
      <w:pPr>
        <w:pStyle w:val="ListBullet2"/>
      </w:pPr>
      <w:r w:rsidRPr="0032417C">
        <w:t>combining components</w:t>
      </w:r>
    </w:p>
    <w:p w:rsidR="00000000" w:rsidRPr="0032417C" w:rsidP="0032417C">
      <w:pPr>
        <w:pStyle w:val="ListBullet2"/>
      </w:pPr>
      <w:r w:rsidRPr="0032417C">
        <w:t>digitising</w:t>
      </w:r>
    </w:p>
    <w:p w:rsidR="00000000" w:rsidRPr="0032417C" w:rsidP="0032417C">
      <w:pPr>
        <w:pStyle w:val="ListBullet2"/>
      </w:pPr>
      <w:r w:rsidRPr="0032417C">
        <w:t>reverse engineering</w:t>
      </w:r>
    </w:p>
    <w:p w:rsidR="00000000" w:rsidRPr="0032417C" w:rsidP="0032417C">
      <w:pPr>
        <w:pStyle w:val="ListBullet"/>
      </w:pPr>
      <w:r w:rsidRPr="0032417C">
        <w:t>labour and skills requirements relevant to rapid prototyping</w:t>
      </w:r>
    </w:p>
    <w:p w:rsidR="00000000" w:rsidRPr="0032417C" w:rsidP="0032417C">
      <w:pPr>
        <w:pStyle w:val="ListBullet"/>
      </w:pPr>
      <w:r w:rsidRPr="0032417C">
        <w:t>systems thinking, continuous improvement, and constraint and contingency management techniques</w:t>
      </w:r>
    </w:p>
    <w:p w:rsidR="00D82041" w:rsidP="0032417C">
      <w:pPr>
        <w:pStyle w:val="ListBullet"/>
      </w:pPr>
      <w:r w:rsidRPr="0032417C">
        <w:t>WHS and regulatory requirements, codes</w:t>
      </w:r>
      <w:r w:rsidRPr="0032417C">
        <w:t xml:space="preserve"> of practice, standards, risk management and registration requirements.</w:t>
      </w:r>
    </w:p>
    <w:p w:rsidR="00D82041" w:rsidP="0032417C">
      <w:pPr>
        <w:pStyle w:val="ListBullet"/>
      </w:pPr>
    </w:p>
    <w:p w:rsidR="00000000" w:rsidRPr="0032417C" w:rsidP="0032417C">
      <w:pPr>
        <w:pStyle w:val="Heading1"/>
      </w:pPr>
      <w:bookmarkStart w:id="4" w:name="O_944301"/>
      <w:bookmarkEnd w:id="4"/>
      <w:r w:rsidRPr="0032417C">
        <w:t>Assessment Conditions</w:t>
      </w:r>
    </w:p>
    <w:p w:rsidR="00000000" w:rsidRPr="0032417C" w:rsidP="0032417C">
      <w:pPr>
        <w:pStyle w:val="ListBullet"/>
      </w:pPr>
      <w:r w:rsidRPr="0032417C">
        <w:t>Assessors must:</w:t>
      </w:r>
    </w:p>
    <w:p w:rsidR="00000000" w:rsidRPr="0032417C" w:rsidP="0032417C">
      <w:pPr>
        <w:pStyle w:val="ListBullet2"/>
      </w:pPr>
      <w:r w:rsidRPr="0032417C">
        <w:t xml:space="preserve">have vocational competency in evaluating rapid prototyping applications at least to the level being </w:t>
      </w:r>
      <w:r w:rsidRPr="0032417C">
        <w:t>assessed with relevant industry knowledge and experience</w:t>
      </w:r>
    </w:p>
    <w:p w:rsidR="00000000" w:rsidRPr="0032417C" w:rsidP="0032417C">
      <w:pPr>
        <w:pStyle w:val="ListBullet2"/>
      </w:pPr>
      <w:r w:rsidRPr="0032417C">
        <w:t xml:space="preserve">satisfy the assessor requirements in the </w:t>
      </w:r>
      <w:r w:rsidRPr="0032417C">
        <w:rPr>
          <w:rStyle w:val="Emphasis"/>
        </w:rPr>
        <w:t xml:space="preserve">Standards for Registered Training Organisations 2015 or its replacement </w:t>
      </w:r>
      <w:r w:rsidRPr="0032417C">
        <w:t xml:space="preserve">and comply with the </w:t>
      </w:r>
      <w:r w:rsidRPr="0032417C">
        <w:rPr>
          <w:rStyle w:val="Emphasis"/>
        </w:rPr>
        <w:t xml:space="preserve">National Vocational Education and Training Regulator Act 2011, </w:t>
      </w:r>
      <w:r w:rsidRPr="0032417C">
        <w:t>its</w:t>
      </w:r>
      <w:r w:rsidRPr="0032417C">
        <w:t xml:space="preserve"> replacement</w:t>
      </w:r>
      <w:r w:rsidRPr="0032417C">
        <w:rPr>
          <w:rStyle w:val="Emphasis"/>
        </w:rPr>
        <w:t xml:space="preserve"> </w:t>
      </w:r>
      <w:r w:rsidRPr="0032417C">
        <w:t>or equivalent legislation covering VET regulation in a non-referring state/territory as the case requires.</w:t>
      </w:r>
    </w:p>
    <w:p w:rsidR="00000000" w:rsidRPr="0032417C" w:rsidP="0032417C">
      <w:pPr>
        <w:pStyle w:val="ListBullet"/>
      </w:pPr>
      <w:r w:rsidRPr="0032417C">
        <w:t>Where possible assessment must occur in operational workplace situations. Where this is not possible or where personal safety or enviro</w:t>
      </w:r>
      <w:r w:rsidRPr="0032417C">
        <w:t>nmental damage are limiting factors, assessment must occur in a sufficiently rigorous simulated environment that reflects realistic operational workplace conditions that cover all aspects of workplace performance, including environment, task skills, task m</w:t>
      </w:r>
      <w:r w:rsidRPr="0032417C">
        <w:t>anagement skills, contingency management skills and job role environment skills.</w:t>
      </w:r>
    </w:p>
    <w:p w:rsidR="00000000" w:rsidRPr="0032417C" w:rsidP="0032417C">
      <w:pPr>
        <w:pStyle w:val="ListBullet"/>
      </w:pPr>
      <w:r w:rsidRPr="0032417C">
        <w:t xml:space="preserve">Conditions for assessment must include access to all tools, equipment, materials and documentation required including relevant workplace procedures, product and manufacturing </w:t>
      </w:r>
      <w:r w:rsidRPr="0032417C">
        <w:t>specifications.</w:t>
      </w:r>
    </w:p>
    <w:p w:rsidR="00D82041" w:rsidP="0032417C">
      <w:pPr>
        <w:pStyle w:val="ListBullet"/>
      </w:pPr>
      <w:r w:rsidRPr="0032417C">
        <w:t>Assessment processes and techniques must be appropriate to the language, literacy and numeracy requirements of the work being performed and the needs of the candidate.</w:t>
      </w:r>
    </w:p>
    <w:p w:rsidR="00D82041" w:rsidP="0032417C">
      <w:pPr>
        <w:pStyle w:val="ListBullet"/>
      </w:pPr>
    </w:p>
    <w:p w:rsidR="00000000" w:rsidRPr="0032417C" w:rsidP="0032417C">
      <w:pPr>
        <w:pStyle w:val="Heading1"/>
      </w:pPr>
      <w:bookmarkStart w:id="5" w:name="O_944299"/>
      <w:bookmarkEnd w:id="5"/>
      <w:r w:rsidRPr="0032417C">
        <w:t>Links</w:t>
      </w:r>
    </w:p>
    <w:p w:rsidR="00000000" w:rsidRPr="0032417C" w:rsidP="00D82041">
      <w:pPr>
        <w:pStyle w:val="BodyText"/>
      </w:pPr>
      <w:r w:rsidRPr="0032417C">
        <w:t>Companion Volume implementation guides are found</w:t>
      </w:r>
      <w:r w:rsidRPr="0032417C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591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2417C" w:rsidP="0032417C"/>
    <w:sectPr w:rsidSect="00324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7C" w:rsidRPr="00D82041" w:rsidP="00D82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41" w:rsidP="00324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041" w:rsidP="00324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2041" w:rsidP="00324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17C" w:rsidRPr="00D82041" w:rsidP="00D82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41" w:rsidRPr="002D2AF8" w:rsidP="00324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MEM23131 Evaluate rapid prototyping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2041" w:rsidP="00324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23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2F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6AD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17C"/>
  </w:style>
  <w:style w:type="character" w:customStyle="1" w:styleId="Heading1Char">
    <w:name w:val="Heading 1 Char"/>
    <w:basedOn w:val="DefaultParagraphFont"/>
    <w:link w:val="Heading1"/>
    <w:rsid w:val="00324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1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41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417C"/>
    <w:rPr>
      <w:i/>
    </w:rPr>
  </w:style>
  <w:style w:type="paragraph" w:customStyle="1" w:styleId="SuperHeading">
    <w:name w:val="SuperHeading"/>
    <w:basedOn w:val="Normal"/>
    <w:rsid w:val="00324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17C"/>
    <w:rPr>
      <w:b/>
      <w:spacing w:val="0"/>
    </w:rPr>
  </w:style>
  <w:style w:type="paragraph" w:customStyle="1" w:styleId="SuperTitle">
    <w:name w:val="SuperTitle"/>
    <w:basedOn w:val="Title"/>
    <w:rsid w:val="00324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17C"/>
  </w:style>
  <w:style w:type="paragraph" w:styleId="TableofFigures">
    <w:name w:val="table of figures"/>
    <w:basedOn w:val="Normal"/>
    <w:next w:val="Normal"/>
    <w:semiHidden/>
    <w:rsid w:val="00324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1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417C"/>
    <w:rPr>
      <w:rFonts w:ascii="Wingdings" w:hAnsi="Wingdings"/>
    </w:rPr>
  </w:style>
  <w:style w:type="paragraph" w:customStyle="1" w:styleId="TableHeading">
    <w:name w:val="Table Heading"/>
    <w:basedOn w:val="HeadingBase"/>
    <w:rsid w:val="00324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17C"/>
    <w:rPr>
      <w:color w:val="0033CC"/>
      <w:u w:val="none"/>
    </w:rPr>
  </w:style>
  <w:style w:type="paragraph" w:customStyle="1" w:styleId="BodyTextRight">
    <w:name w:val="Body Text Right"/>
    <w:basedOn w:val="BodyText"/>
    <w:rsid w:val="00324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17C"/>
    <w:rPr>
      <w:sz w:val="32"/>
    </w:rPr>
  </w:style>
  <w:style w:type="paragraph" w:customStyle="1" w:styleId="HeadingProcedure">
    <w:name w:val="Heading Procedure"/>
    <w:basedOn w:val="HeadingBase"/>
    <w:next w:val="Normal"/>
    <w:rsid w:val="00324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17C"/>
    <w:pPr>
      <w:spacing w:before="60" w:after="60"/>
    </w:pPr>
  </w:style>
  <w:style w:type="paragraph" w:styleId="ListContinue">
    <w:name w:val="List Continue"/>
    <w:basedOn w:val="List"/>
    <w:rsid w:val="0032417C"/>
    <w:pPr>
      <w:ind w:firstLine="0"/>
    </w:pPr>
  </w:style>
  <w:style w:type="paragraph" w:customStyle="1" w:styleId="ListNote">
    <w:name w:val="List Note"/>
    <w:basedOn w:val="List"/>
    <w:rsid w:val="00324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17C"/>
    <w:rPr>
      <w:rFonts w:ascii="Courier New" w:hAnsi="Courier New"/>
    </w:rPr>
  </w:style>
  <w:style w:type="paragraph" w:customStyle="1" w:styleId="NoteBullet">
    <w:name w:val="Note Bullet"/>
    <w:basedOn w:val="Note"/>
    <w:rsid w:val="00324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1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17C"/>
    <w:rPr>
      <w:b/>
      <w:smallCaps/>
    </w:rPr>
  </w:style>
  <w:style w:type="paragraph" w:customStyle="1" w:styleId="TableListNumber">
    <w:name w:val="Table List Number"/>
    <w:basedOn w:val="ListNumber"/>
    <w:rsid w:val="00324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17C"/>
    <w:pPr>
      <w:numPr>
        <w:numId w:val="9"/>
      </w:numPr>
    </w:pPr>
  </w:style>
  <w:style w:type="paragraph" w:customStyle="1" w:styleId="ListAlpha2">
    <w:name w:val="List Alpha 2"/>
    <w:basedOn w:val="List2"/>
    <w:rsid w:val="0032417C"/>
    <w:pPr>
      <w:numPr>
        <w:numId w:val="8"/>
      </w:numPr>
    </w:pPr>
  </w:style>
  <w:style w:type="paragraph" w:styleId="List2">
    <w:name w:val="List 2"/>
    <w:basedOn w:val="BodyText"/>
    <w:rsid w:val="00324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1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417C"/>
    <w:pPr>
      <w:numPr>
        <w:numId w:val="4"/>
      </w:numPr>
    </w:pPr>
  </w:style>
  <w:style w:type="paragraph" w:styleId="ListContinue2">
    <w:name w:val="List Continue 2"/>
    <w:basedOn w:val="List2"/>
    <w:rsid w:val="0032417C"/>
    <w:pPr>
      <w:ind w:firstLine="0"/>
    </w:pPr>
  </w:style>
  <w:style w:type="paragraph" w:styleId="ListContinue3">
    <w:name w:val="List Continue 3"/>
    <w:basedOn w:val="List3"/>
    <w:rsid w:val="0032417C"/>
    <w:pPr>
      <w:ind w:left="1021" w:firstLine="0"/>
    </w:pPr>
  </w:style>
  <w:style w:type="paragraph" w:styleId="ListContinue4">
    <w:name w:val="List Continue 4"/>
    <w:basedOn w:val="List4"/>
    <w:rsid w:val="0032417C"/>
    <w:pPr>
      <w:ind w:firstLine="0"/>
    </w:pPr>
  </w:style>
  <w:style w:type="paragraph" w:styleId="ListContinue5">
    <w:name w:val="List Continue 5"/>
    <w:basedOn w:val="List5"/>
    <w:rsid w:val="0032417C"/>
    <w:pPr>
      <w:ind w:firstLine="0"/>
    </w:pPr>
  </w:style>
  <w:style w:type="paragraph" w:styleId="ListNumber3">
    <w:name w:val="List Number 3"/>
    <w:basedOn w:val="List3"/>
    <w:rsid w:val="0032417C"/>
    <w:pPr>
      <w:numPr>
        <w:numId w:val="5"/>
      </w:numPr>
    </w:pPr>
  </w:style>
  <w:style w:type="paragraph" w:styleId="ListNumber4">
    <w:name w:val="List Number 4"/>
    <w:basedOn w:val="List4"/>
    <w:rsid w:val="0032417C"/>
    <w:pPr>
      <w:numPr>
        <w:numId w:val="6"/>
      </w:numPr>
    </w:pPr>
  </w:style>
  <w:style w:type="paragraph" w:styleId="ListNumber5">
    <w:name w:val="List Number 5"/>
    <w:basedOn w:val="List5"/>
    <w:rsid w:val="0032417C"/>
    <w:pPr>
      <w:numPr>
        <w:numId w:val="7"/>
      </w:numPr>
    </w:pPr>
  </w:style>
  <w:style w:type="paragraph" w:styleId="BlockText">
    <w:name w:val="Block Text"/>
    <w:basedOn w:val="Normal"/>
    <w:rsid w:val="00324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17C"/>
    <w:rPr>
      <w:sz w:val="16"/>
      <w:vertAlign w:val="superscript"/>
    </w:rPr>
  </w:style>
  <w:style w:type="character" w:customStyle="1" w:styleId="Symbols">
    <w:name w:val="Symbols"/>
    <w:basedOn w:val="DefaultParagraphFont"/>
    <w:rsid w:val="0032417C"/>
    <w:rPr>
      <w:rFonts w:ascii="Symbol" w:hAnsi="Symbol"/>
    </w:rPr>
  </w:style>
  <w:style w:type="character" w:customStyle="1" w:styleId="MenuOptions">
    <w:name w:val="Menu Options"/>
    <w:basedOn w:val="DefaultParagraphFont"/>
    <w:rsid w:val="00324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17C"/>
    <w:rPr>
      <w:b/>
    </w:rPr>
  </w:style>
  <w:style w:type="character" w:customStyle="1" w:styleId="Underlined">
    <w:name w:val="Underlined"/>
    <w:basedOn w:val="DefaultParagraphFont"/>
    <w:rsid w:val="0032417C"/>
    <w:rPr>
      <w:u w:val="single"/>
    </w:rPr>
  </w:style>
  <w:style w:type="paragraph" w:customStyle="1" w:styleId="TableBodyTextRight">
    <w:name w:val="Table Body Text Right"/>
    <w:basedOn w:val="TableBodyText"/>
    <w:rsid w:val="00324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17C"/>
    <w:rPr>
      <w:sz w:val="18"/>
    </w:rPr>
  </w:style>
  <w:style w:type="paragraph" w:customStyle="1" w:styleId="BodySmallRight">
    <w:name w:val="Body Small Right"/>
    <w:basedOn w:val="BodyTextRight"/>
    <w:rsid w:val="0032417C"/>
    <w:rPr>
      <w:sz w:val="18"/>
      <w:szCs w:val="18"/>
    </w:rPr>
  </w:style>
  <w:style w:type="paragraph" w:customStyle="1" w:styleId="MarginEdition">
    <w:name w:val="Margin Edition"/>
    <w:basedOn w:val="MarginNote"/>
    <w:rsid w:val="00324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17C"/>
    <w:rPr>
      <w:sz w:val="2"/>
      <w:szCs w:val="2"/>
    </w:rPr>
  </w:style>
  <w:style w:type="character" w:customStyle="1" w:styleId="Small">
    <w:name w:val="Small"/>
    <w:basedOn w:val="DefaultParagraphFont"/>
    <w:rsid w:val="0032417C"/>
    <w:rPr>
      <w:sz w:val="16"/>
    </w:rPr>
  </w:style>
  <w:style w:type="paragraph" w:customStyle="1" w:styleId="WideTable">
    <w:name w:val="Wide Table"/>
    <w:basedOn w:val="Normal"/>
    <w:rsid w:val="00324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17C"/>
  </w:style>
  <w:style w:type="paragraph" w:styleId="Quote">
    <w:name w:val="Quote"/>
    <w:basedOn w:val="Heading1"/>
    <w:link w:val="QuoteChar"/>
    <w:qFormat/>
    <w:rsid w:val="00324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17C"/>
    <w:pPr>
      <w:pageBreakBefore/>
    </w:pPr>
  </w:style>
  <w:style w:type="paragraph" w:customStyle="1" w:styleId="Border">
    <w:name w:val="Border"/>
    <w:basedOn w:val="Normal"/>
    <w:qFormat/>
    <w:rsid w:val="00324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17C"/>
    <w:rPr>
      <w:u w:val="single"/>
    </w:rPr>
  </w:style>
  <w:style w:type="character" w:customStyle="1" w:styleId="BoldandItalics">
    <w:name w:val="Bold and Italics"/>
    <w:qFormat/>
    <w:rsid w:val="0032417C"/>
    <w:rPr>
      <w:b/>
      <w:i/>
      <w:u w:val="none"/>
    </w:rPr>
  </w:style>
  <w:style w:type="paragraph" w:styleId="BalloonText">
    <w:name w:val="Balloon Text"/>
    <w:basedOn w:val="Normal"/>
    <w:link w:val="BalloonTextChar"/>
    <w:rsid w:val="00324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17C"/>
    <w:pPr>
      <w:spacing w:before="0" w:after="0"/>
    </w:pPr>
  </w:style>
  <w:style w:type="paragraph" w:customStyle="1" w:styleId="BodyTextBold">
    <w:name w:val="Body Text Bold"/>
    <w:basedOn w:val="BodyText"/>
    <w:qFormat/>
    <w:rsid w:val="0032417C"/>
    <w:rPr>
      <w:b/>
    </w:rPr>
  </w:style>
  <w:style w:type="character" w:styleId="Hyperlink">
    <w:name w:val="Hyperlink"/>
    <w:basedOn w:val="DefaultParagraphFont"/>
    <w:uiPriority w:val="99"/>
    <w:unhideWhenUsed/>
    <w:rsid w:val="00D82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4650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MEM23131 Evaluate rapid prototyping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