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E31" w:rsidP="00BF7E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MEM23130 Coordinate servicing and fault-finding of HVACR control systems</w:t>
      </w:r>
      <w:r>
        <w:fldChar w:fldCharType="end"/>
      </w:r>
    </w:p>
    <w:p w:rsidR="00BF7E31" w:rsidP="00BF7E31">
      <w:pPr>
        <w:pStyle w:val="Version"/>
        <w:sectPr w:rsidSect="00F37E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E9E" w:rsidP="00F37E9E">
      <w:pPr>
        <w:pStyle w:val="SuperHeading"/>
      </w:pPr>
      <w:r w:rsidRPr="00F37E9E">
        <w:t>Assessment Requirements for MEM23130 Coordinate servicing and fault-finding of HVACR control systems</w:t>
      </w:r>
    </w:p>
    <w:p w:rsidR="00000000" w:rsidRPr="00F37E9E" w:rsidP="00F37E9E">
      <w:pPr>
        <w:pStyle w:val="Heading1"/>
      </w:pPr>
      <w:bookmarkStart w:id="1" w:name="O_944281"/>
      <w:bookmarkEnd w:id="1"/>
      <w:r w:rsidRPr="00F37E9E">
        <w:t>Modification History</w:t>
      </w:r>
    </w:p>
    <w:p w:rsidR="00BF7E31" w:rsidP="00BF7E31">
      <w:pPr>
        <w:pStyle w:val="BodyText"/>
      </w:pPr>
      <w:r w:rsidRPr="00F37E9E">
        <w:t>Release 1. Supersedes and is equivalent to MEM23130A Coordinate servicing and fault finding of HVACR control systems.</w:t>
      </w:r>
    </w:p>
    <w:p w:rsidR="00000000" w:rsidRPr="00F37E9E" w:rsidP="00F37E9E">
      <w:pPr>
        <w:pStyle w:val="Heading1"/>
      </w:pPr>
      <w:bookmarkStart w:id="2" w:name="O_944284"/>
      <w:bookmarkEnd w:id="2"/>
      <w:r w:rsidRPr="00F37E9E">
        <w:t>Performance Evidence</w:t>
      </w:r>
    </w:p>
    <w:p w:rsidR="00000000" w:rsidRPr="00F37E9E" w:rsidP="00BF7E31">
      <w:pPr>
        <w:pStyle w:val="BodyText"/>
      </w:pPr>
      <w:r w:rsidRPr="00F37E9E">
        <w:t>Evidence required to demonstrate competence in this unit must be relevant to and satisfy the requirements of the elements and performance criteria and include:</w:t>
      </w:r>
    </w:p>
    <w:p w:rsidR="00000000" w:rsidRPr="00F37E9E" w:rsidP="00F37E9E">
      <w:pPr>
        <w:pStyle w:val="ListBullet"/>
      </w:pPr>
      <w:r w:rsidRPr="00F37E9E">
        <w:t>interpreting drawings, diagrams, manuals and design inf</w:t>
      </w:r>
      <w:r w:rsidRPr="00F37E9E">
        <w:t>ormation to determine heating, ventilation, air conditioning and refrigeration (HVACR) control system layout, components and functions</w:t>
      </w:r>
    </w:p>
    <w:p w:rsidR="00000000" w:rsidRPr="00F37E9E" w:rsidP="00F37E9E">
      <w:pPr>
        <w:pStyle w:val="ListBullet"/>
      </w:pPr>
      <w:r w:rsidRPr="00F37E9E">
        <w:t>communicating HVACR servicing and fault-finding tasks and requirements on at least two occasions</w:t>
      </w:r>
    </w:p>
    <w:p w:rsidR="00000000" w:rsidRPr="00F37E9E" w:rsidP="00F37E9E">
      <w:pPr>
        <w:pStyle w:val="ListBullet"/>
      </w:pPr>
      <w:r w:rsidRPr="00F37E9E">
        <w:t>identifying relevant wor</w:t>
      </w:r>
      <w:r w:rsidRPr="00F37E9E">
        <w:t>k health and safety (WHS), other regulatory requirements, standards and codes</w:t>
      </w:r>
    </w:p>
    <w:p w:rsidR="00000000" w:rsidRPr="00F37E9E" w:rsidP="00F37E9E">
      <w:pPr>
        <w:pStyle w:val="ListBullet"/>
      </w:pPr>
      <w:r w:rsidRPr="00F37E9E">
        <w:t>investigating sustainability implications of HVACR control systems</w:t>
      </w:r>
    </w:p>
    <w:p w:rsidR="00000000" w:rsidRPr="00F37E9E" w:rsidP="00F37E9E">
      <w:pPr>
        <w:pStyle w:val="ListBullet"/>
      </w:pPr>
      <w:r w:rsidRPr="00F37E9E">
        <w:t>assessing HVACR control system and hardware on at least two occasions, including building management system con</w:t>
      </w:r>
      <w:r w:rsidRPr="00F37E9E">
        <w:t>trol systems</w:t>
      </w:r>
    </w:p>
    <w:p w:rsidR="00000000" w:rsidRPr="00F37E9E" w:rsidP="00F37E9E">
      <w:pPr>
        <w:pStyle w:val="ListBullet"/>
      </w:pPr>
      <w:r w:rsidRPr="00F37E9E">
        <w:t>selecting and using appropriate analysis and simulation software and validation techniques</w:t>
      </w:r>
    </w:p>
    <w:p w:rsidR="00000000" w:rsidRPr="00F37E9E" w:rsidP="00F37E9E">
      <w:pPr>
        <w:pStyle w:val="ListBullet"/>
      </w:pPr>
      <w:r w:rsidRPr="00F37E9E">
        <w:t>reviewing thermal loads, hardware, energy options, tariffs, consumption, benchmarks and comparative tariffs</w:t>
      </w:r>
    </w:p>
    <w:p w:rsidR="00000000" w:rsidRPr="00F37E9E" w:rsidP="00F37E9E">
      <w:pPr>
        <w:pStyle w:val="ListBullet"/>
      </w:pPr>
      <w:r w:rsidRPr="00F37E9E">
        <w:t>mapping and monitoring control system, input</w:t>
      </w:r>
      <w:r w:rsidRPr="00F37E9E">
        <w:t>/output (I/O), hardware and energy use on at least two occasions</w:t>
      </w:r>
    </w:p>
    <w:p w:rsidR="00000000" w:rsidRPr="00F37E9E" w:rsidP="00F37E9E">
      <w:pPr>
        <w:pStyle w:val="ListBullet"/>
      </w:pPr>
      <w:r w:rsidRPr="00F37E9E">
        <w:t>optimising HVACR control system for seasonal and load cycles</w:t>
      </w:r>
    </w:p>
    <w:p w:rsidR="00000000" w:rsidRPr="00F37E9E" w:rsidP="00F37E9E">
      <w:pPr>
        <w:pStyle w:val="ListBullet"/>
      </w:pPr>
      <w:r w:rsidRPr="00F37E9E">
        <w:t>measuring control system performance</w:t>
      </w:r>
    </w:p>
    <w:p w:rsidR="00000000" w:rsidRPr="00F37E9E" w:rsidP="00F37E9E">
      <w:pPr>
        <w:pStyle w:val="ListBullet"/>
      </w:pPr>
      <w:r w:rsidRPr="00F37E9E">
        <w:t>developing optimal control diagram and settings</w:t>
      </w:r>
    </w:p>
    <w:p w:rsidR="00000000" w:rsidRPr="00F37E9E" w:rsidP="00F37E9E">
      <w:pPr>
        <w:pStyle w:val="ListBullet"/>
      </w:pPr>
      <w:r w:rsidRPr="00F37E9E">
        <w:t>reporting and documenting results including e</w:t>
      </w:r>
      <w:r w:rsidRPr="00F37E9E">
        <w:t>fficiency evaluations, maps and diagrams, programs, analysis and simulation files and conclusions.</w:t>
      </w:r>
    </w:p>
    <w:p w:rsidR="00BF7E31" w:rsidP="00BF7E31">
      <w:pPr>
        <w:pStyle w:val="BodyText"/>
      </w:pPr>
      <w:r w:rsidRPr="00F37E9E">
        <w:t>Note: Where a volume and/or frequency is not specified, demonstration must be provided at least once.</w:t>
      </w:r>
    </w:p>
    <w:p w:rsidR="00000000" w:rsidRPr="00F37E9E" w:rsidP="00F37E9E">
      <w:pPr>
        <w:pStyle w:val="Heading1"/>
      </w:pPr>
      <w:bookmarkStart w:id="3" w:name="O_944283"/>
      <w:bookmarkEnd w:id="3"/>
      <w:r w:rsidRPr="00F37E9E">
        <w:t>Knowledge Evidence</w:t>
      </w:r>
    </w:p>
    <w:p w:rsidR="00000000" w:rsidRPr="00F37E9E" w:rsidP="00BF7E31">
      <w:pPr>
        <w:pStyle w:val="BodyText"/>
      </w:pPr>
      <w:r w:rsidRPr="00F37E9E">
        <w:t>Evidence required to demonstrate the required knowledge for this unit must be relevant to and satisfy the requirements of the elements and performance criteria and include knowledge of:</w:t>
      </w:r>
    </w:p>
    <w:p w:rsidR="00000000" w:rsidRPr="00F37E9E" w:rsidP="00F37E9E">
      <w:pPr>
        <w:pStyle w:val="ListBullet"/>
      </w:pPr>
      <w:r w:rsidRPr="00F37E9E">
        <w:t>WHS and regulatory requirements, codes of practice, standards, risk m</w:t>
      </w:r>
      <w:r w:rsidRPr="00F37E9E">
        <w:t>anagement and registration requirements</w:t>
      </w:r>
    </w:p>
    <w:p w:rsidR="00000000" w:rsidRPr="00F37E9E" w:rsidP="00F37E9E">
      <w:pPr>
        <w:pStyle w:val="ListBullet"/>
      </w:pPr>
      <w:r w:rsidRPr="00F37E9E">
        <w:t>sources of professional and technical assistance</w:t>
      </w:r>
    </w:p>
    <w:p w:rsidR="00000000" w:rsidRPr="00F37E9E" w:rsidP="00F37E9E">
      <w:pPr>
        <w:pStyle w:val="ListBullet"/>
      </w:pPr>
      <w:r w:rsidRPr="00F37E9E">
        <w:t>trends in HVACR system design, installation, operation and maintenance including integration with energy management systems</w:t>
      </w:r>
    </w:p>
    <w:p w:rsidR="00000000" w:rsidRPr="00F37E9E" w:rsidP="00F37E9E">
      <w:pPr>
        <w:pStyle w:val="ListBullet"/>
      </w:pPr>
      <w:r w:rsidRPr="00F37E9E">
        <w:t>current options and trends in performance a</w:t>
      </w:r>
      <w:r w:rsidRPr="00F37E9E">
        <w:t>nalysis software including underpinning program techniques</w:t>
      </w:r>
    </w:p>
    <w:p w:rsidR="00000000" w:rsidRPr="00F37E9E" w:rsidP="00F37E9E">
      <w:pPr>
        <w:pStyle w:val="ListBullet"/>
      </w:pPr>
      <w:r w:rsidRPr="00F37E9E">
        <w:t>HVACR control systems applications</w:t>
      </w:r>
    </w:p>
    <w:p w:rsidR="00000000" w:rsidRPr="00F37E9E" w:rsidP="00F37E9E">
      <w:pPr>
        <w:pStyle w:val="ListBullet"/>
      </w:pPr>
      <w:r w:rsidRPr="00F37E9E">
        <w:t>sustainability implications of HVACR systems control and energy management systems</w:t>
      </w:r>
    </w:p>
    <w:p w:rsidR="00000000" w:rsidRPr="00F37E9E" w:rsidP="00F37E9E">
      <w:pPr>
        <w:pStyle w:val="ListBullet"/>
      </w:pPr>
      <w:r w:rsidRPr="00F37E9E">
        <w:t>analog and digital inputs and outputs</w:t>
      </w:r>
    </w:p>
    <w:p w:rsidR="00000000" w:rsidRPr="00F37E9E" w:rsidP="00F37E9E">
      <w:pPr>
        <w:pStyle w:val="ListBullet"/>
      </w:pPr>
      <w:r w:rsidRPr="00F37E9E">
        <w:t xml:space="preserve">building management systems features and </w:t>
      </w:r>
      <w:r w:rsidRPr="00F37E9E">
        <w:t>functions related to HVACR and integration with other features including:</w:t>
      </w:r>
    </w:p>
    <w:p w:rsidR="00000000" w:rsidRPr="00F37E9E" w:rsidP="00F37E9E">
      <w:pPr>
        <w:pStyle w:val="ListBullet2"/>
      </w:pPr>
      <w:r w:rsidRPr="00F37E9E">
        <w:t>lighting, alarms and security</w:t>
      </w:r>
    </w:p>
    <w:p w:rsidR="00000000" w:rsidRPr="00F37E9E" w:rsidP="00F37E9E">
      <w:pPr>
        <w:pStyle w:val="ListBullet2"/>
      </w:pPr>
      <w:r w:rsidRPr="00F37E9E">
        <w:t>multi-zone operation</w:t>
      </w:r>
    </w:p>
    <w:p w:rsidR="00000000" w:rsidRPr="00F37E9E" w:rsidP="00F37E9E">
      <w:pPr>
        <w:pStyle w:val="ListBullet2"/>
      </w:pPr>
      <w:r w:rsidRPr="00F37E9E">
        <w:t>operating modes including occupied, unoccupied, morning warm-up, and night-time setback</w:t>
      </w:r>
    </w:p>
    <w:p w:rsidR="00000000" w:rsidRPr="00F37E9E" w:rsidP="00F37E9E">
      <w:pPr>
        <w:pStyle w:val="ListBullet"/>
      </w:pPr>
      <w:r w:rsidRPr="00F37E9E">
        <w:t>features, components, functions, protocol</w:t>
      </w:r>
      <w:r w:rsidRPr="00F37E9E">
        <w:t>s and topology of HVACR control systems including:</w:t>
      </w:r>
    </w:p>
    <w:p w:rsidR="00000000" w:rsidRPr="00F37E9E" w:rsidP="00F37E9E">
      <w:pPr>
        <w:pStyle w:val="ListBullet2"/>
      </w:pPr>
      <w:r w:rsidRPr="00F37E9E">
        <w:t>protocols and topology</w:t>
      </w:r>
    </w:p>
    <w:p w:rsidR="00000000" w:rsidRPr="00F37E9E" w:rsidP="00F37E9E">
      <w:pPr>
        <w:pStyle w:val="ListBullet2"/>
      </w:pPr>
      <w:r w:rsidRPr="00F37E9E">
        <w:t>control settings</w:t>
      </w:r>
    </w:p>
    <w:p w:rsidR="00000000" w:rsidRPr="00F37E9E" w:rsidP="00F37E9E">
      <w:pPr>
        <w:pStyle w:val="ListBullet2"/>
      </w:pPr>
      <w:r w:rsidRPr="00F37E9E">
        <w:t>I/O devices and techniques</w:t>
      </w:r>
    </w:p>
    <w:p w:rsidR="00000000" w:rsidRPr="00F37E9E" w:rsidP="00F37E9E">
      <w:pPr>
        <w:pStyle w:val="ListBullet2"/>
      </w:pPr>
      <w:r w:rsidRPr="00F37E9E">
        <w:t>software and programming techniques</w:t>
      </w:r>
    </w:p>
    <w:p w:rsidR="00000000" w:rsidRPr="00F37E9E" w:rsidP="00F37E9E">
      <w:pPr>
        <w:pStyle w:val="ListBullet2"/>
      </w:pPr>
      <w:r w:rsidRPr="00F37E9E">
        <w:t>proportional-integral-derivative (PID) controller functions in HVACR control systems</w:t>
      </w:r>
    </w:p>
    <w:p w:rsidR="00000000" w:rsidRPr="00F37E9E" w:rsidP="00F37E9E">
      <w:pPr>
        <w:pStyle w:val="ListBullet"/>
      </w:pPr>
      <w:r w:rsidRPr="00F37E9E">
        <w:t>interface principles and techniques for electrical, electronic, pneumatic and hydraulic sensors and actuators</w:t>
      </w:r>
    </w:p>
    <w:p w:rsidR="00000000" w:rsidRPr="00F37E9E" w:rsidP="00F37E9E">
      <w:pPr>
        <w:pStyle w:val="ListBullet"/>
      </w:pPr>
      <w:r w:rsidRPr="00F37E9E">
        <w:t>HVACR principles and techniques related to energy distribution and consumption</w:t>
      </w:r>
    </w:p>
    <w:p w:rsidR="00000000" w:rsidRPr="00F37E9E" w:rsidP="00F37E9E">
      <w:pPr>
        <w:pStyle w:val="ListBullet"/>
      </w:pPr>
      <w:r w:rsidRPr="00F37E9E">
        <w:t xml:space="preserve">passive characteristics and heat load on the system under control </w:t>
      </w:r>
    </w:p>
    <w:p w:rsidR="00000000" w:rsidRPr="00F37E9E" w:rsidP="00F37E9E">
      <w:pPr>
        <w:pStyle w:val="ListBullet"/>
      </w:pPr>
      <w:r w:rsidRPr="00F37E9E">
        <w:t>daily, seasonal and annual HVACR load cycles</w:t>
      </w:r>
    </w:p>
    <w:p w:rsidR="00000000" w:rsidRPr="00F37E9E" w:rsidP="00F37E9E">
      <w:pPr>
        <w:pStyle w:val="ListBullet"/>
      </w:pPr>
      <w:r w:rsidRPr="00F37E9E">
        <w:t>sources of technical and professional assistance for engineering specialisations</w:t>
      </w:r>
    </w:p>
    <w:p w:rsidR="00000000" w:rsidRPr="00F37E9E" w:rsidP="00F37E9E">
      <w:pPr>
        <w:pStyle w:val="ListBullet"/>
      </w:pPr>
      <w:r w:rsidRPr="00F37E9E">
        <w:t xml:space="preserve">energy options, unit tariffs, system and component consumption and benchmarks for energy costs and comparative tariffs </w:t>
      </w:r>
    </w:p>
    <w:p w:rsidR="00000000" w:rsidRPr="00F37E9E" w:rsidP="00F37E9E">
      <w:pPr>
        <w:pStyle w:val="ListBullet"/>
      </w:pPr>
      <w:r w:rsidRPr="00F37E9E">
        <w:t>testing an</w:t>
      </w:r>
      <w:r w:rsidRPr="00F37E9E">
        <w:t>d measuring devices and materials and their calibration, set-up, test and use</w:t>
      </w:r>
    </w:p>
    <w:p w:rsidR="00BF7E31" w:rsidP="00F37E9E">
      <w:pPr>
        <w:pStyle w:val="ListBullet"/>
      </w:pPr>
      <w:r w:rsidRPr="00F37E9E">
        <w:t>analysis techniques including use of analysis and simulation software and software validation techniques.</w:t>
      </w:r>
    </w:p>
    <w:p w:rsidR="00BF7E31" w:rsidP="00F37E9E">
      <w:pPr>
        <w:pStyle w:val="ListBullet"/>
      </w:pPr>
    </w:p>
    <w:p w:rsidR="00000000" w:rsidRPr="00F37E9E" w:rsidP="00F37E9E">
      <w:pPr>
        <w:pStyle w:val="Heading1"/>
      </w:pPr>
      <w:bookmarkStart w:id="4" w:name="O_944282"/>
      <w:bookmarkEnd w:id="4"/>
      <w:r w:rsidRPr="00F37E9E">
        <w:t>Assessment Conditions</w:t>
      </w:r>
    </w:p>
    <w:p w:rsidR="00000000" w:rsidRPr="00F37E9E" w:rsidP="00F37E9E">
      <w:pPr>
        <w:pStyle w:val="ListBullet"/>
      </w:pPr>
      <w:r w:rsidRPr="00F37E9E">
        <w:t>Assessors must:</w:t>
      </w:r>
    </w:p>
    <w:p w:rsidR="00000000" w:rsidRPr="00F37E9E" w:rsidP="00F37E9E">
      <w:pPr>
        <w:pStyle w:val="ListBullet2"/>
      </w:pPr>
      <w:r w:rsidRPr="00F37E9E">
        <w:t>have vocational competency in coordinating servicing and fault finding of HVACR control systems at least to the level being assessed with relevant industry knowledge and experience</w:t>
      </w:r>
    </w:p>
    <w:p w:rsidR="00000000" w:rsidRPr="00F37E9E" w:rsidP="00F37E9E">
      <w:pPr>
        <w:pStyle w:val="ListBullet2"/>
      </w:pPr>
      <w:r w:rsidRPr="00F37E9E">
        <w:t xml:space="preserve">satisfy the assessor requirements in the </w:t>
      </w:r>
      <w:r w:rsidRPr="00F37E9E">
        <w:rPr>
          <w:rStyle w:val="Emphasis"/>
        </w:rPr>
        <w:t xml:space="preserve">Standards for Registered Training </w:t>
      </w:r>
      <w:r w:rsidRPr="00F37E9E">
        <w:rPr>
          <w:rStyle w:val="Emphasis"/>
        </w:rPr>
        <w:t xml:space="preserve">Organisations 2015 or its replacement </w:t>
      </w:r>
      <w:r w:rsidRPr="00F37E9E">
        <w:t xml:space="preserve">and comply with the </w:t>
      </w:r>
      <w:r w:rsidRPr="00F37E9E">
        <w:rPr>
          <w:rStyle w:val="Emphasis"/>
        </w:rPr>
        <w:t xml:space="preserve">National Vocational Education and Training Regulator Act 2011, </w:t>
      </w:r>
      <w:r w:rsidRPr="00F37E9E">
        <w:t>its replacement</w:t>
      </w:r>
      <w:r w:rsidRPr="00F37E9E">
        <w:rPr>
          <w:rStyle w:val="Emphasis"/>
        </w:rPr>
        <w:t xml:space="preserve"> </w:t>
      </w:r>
      <w:r w:rsidRPr="00F37E9E">
        <w:t>or equivalent legislation covering VET regulation in a non-referring state/territory as the case requires.</w:t>
      </w:r>
    </w:p>
    <w:p w:rsidR="00000000" w:rsidRPr="00F37E9E" w:rsidP="00F37E9E">
      <w:pPr>
        <w:pStyle w:val="ListBullet"/>
      </w:pPr>
      <w:r w:rsidRPr="00F37E9E">
        <w:t>Where possi</w:t>
      </w:r>
      <w:r w:rsidRPr="00F37E9E">
        <w:t xml:space="preserve">ble assessment must occur in operational workplace situations. Where this is not possible or where personal safety or environmental damage are limiting factors, assessment must occur in a sufficiently rigorous simulated environment that reflects realistic </w:t>
      </w:r>
      <w:r w:rsidRPr="00F37E9E">
        <w:t>operational workplace conditions that cover all aspects of workplace performance, including environment, task skills, task management skills, contingency management skills and job role environment skills.</w:t>
      </w:r>
    </w:p>
    <w:p w:rsidR="00000000" w:rsidRPr="00F37E9E" w:rsidP="00F37E9E">
      <w:pPr>
        <w:pStyle w:val="ListBullet"/>
      </w:pPr>
      <w:r w:rsidRPr="00F37E9E">
        <w:t>Conditions for assessment must include access to al</w:t>
      </w:r>
      <w:r w:rsidRPr="00F37E9E">
        <w:t>l tools, equipment, materials and documentation required including relevant workplace procedures, product and manufacturing specifications.</w:t>
      </w:r>
    </w:p>
    <w:p w:rsidR="00BF7E31" w:rsidP="00F37E9E">
      <w:pPr>
        <w:pStyle w:val="ListBullet"/>
      </w:pPr>
      <w:r w:rsidRPr="00F37E9E">
        <w:t>Assessment processes and techniques must be appropriate to the language, literacy and numeracy requirements of the w</w:t>
      </w:r>
      <w:r w:rsidRPr="00F37E9E">
        <w:t>ork being performed and the needs of the candidate.</w:t>
      </w:r>
    </w:p>
    <w:p w:rsidR="00BF7E31" w:rsidP="00F37E9E">
      <w:pPr>
        <w:pStyle w:val="ListBullet"/>
      </w:pPr>
    </w:p>
    <w:p w:rsidR="00000000" w:rsidRPr="00F37E9E" w:rsidP="00F37E9E">
      <w:pPr>
        <w:pStyle w:val="Heading1"/>
      </w:pPr>
      <w:bookmarkStart w:id="5" w:name="O_944280"/>
      <w:bookmarkEnd w:id="5"/>
      <w:r w:rsidRPr="00F37E9E">
        <w:t>Links</w:t>
      </w:r>
    </w:p>
    <w:p w:rsidR="00000000" w:rsidRPr="00F37E9E" w:rsidP="00BF7E31">
      <w:pPr>
        <w:pStyle w:val="BodyText"/>
      </w:pPr>
      <w:r w:rsidRPr="00F37E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D5D1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37E9E" w:rsidP="00F37E9E"/>
    <w:sectPr w:rsidSect="00F37E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9E" w:rsidRPr="00BF7E31" w:rsidP="00BF7E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E31" w:rsidP="00F37E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7E31" w:rsidP="00F37E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7E31" w:rsidP="00F37E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E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E9E" w:rsidRPr="00BF7E31" w:rsidP="00BF7E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E31" w:rsidRPr="002D2AF8" w:rsidP="00F37E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MEM23130 Coordinate servicing and fault-finding of HVACR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F7E31" w:rsidP="00F37E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2294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70F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2E1D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E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E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E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E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E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E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E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E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E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E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E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E9E"/>
  </w:style>
  <w:style w:type="character" w:customStyle="1" w:styleId="Heading1Char">
    <w:name w:val="Heading 1 Char"/>
    <w:basedOn w:val="DefaultParagraphFont"/>
    <w:link w:val="Heading1"/>
    <w:rsid w:val="00F37E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E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E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7E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7E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7E9E"/>
    <w:rPr>
      <w:i/>
    </w:rPr>
  </w:style>
  <w:style w:type="paragraph" w:customStyle="1" w:styleId="SuperHeading">
    <w:name w:val="SuperHeading"/>
    <w:basedOn w:val="Normal"/>
    <w:rsid w:val="00F37E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E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E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E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E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E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E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E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E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E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E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E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E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E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E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E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E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7E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7E9E"/>
    <w:rPr>
      <w:b/>
      <w:spacing w:val="0"/>
    </w:rPr>
  </w:style>
  <w:style w:type="paragraph" w:customStyle="1" w:styleId="SuperTitle">
    <w:name w:val="SuperTitle"/>
    <w:basedOn w:val="Title"/>
    <w:rsid w:val="00F37E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E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E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7E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E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E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E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E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E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E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E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E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7E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E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E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E9E"/>
  </w:style>
  <w:style w:type="paragraph" w:styleId="TableofFigures">
    <w:name w:val="table of figures"/>
    <w:basedOn w:val="Normal"/>
    <w:next w:val="Normal"/>
    <w:semiHidden/>
    <w:rsid w:val="00F37E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E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7E9E"/>
    <w:rPr>
      <w:rFonts w:ascii="Wingdings" w:hAnsi="Wingdings"/>
    </w:rPr>
  </w:style>
  <w:style w:type="paragraph" w:customStyle="1" w:styleId="TableHeading">
    <w:name w:val="Table Heading"/>
    <w:basedOn w:val="HeadingBase"/>
    <w:rsid w:val="00F37E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E9E"/>
    <w:rPr>
      <w:color w:val="0033CC"/>
      <w:u w:val="none"/>
    </w:rPr>
  </w:style>
  <w:style w:type="paragraph" w:customStyle="1" w:styleId="BodyTextRight">
    <w:name w:val="Body Text Right"/>
    <w:basedOn w:val="BodyText"/>
    <w:rsid w:val="00F37E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E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E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E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E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E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E9E"/>
    <w:rPr>
      <w:sz w:val="32"/>
    </w:rPr>
  </w:style>
  <w:style w:type="paragraph" w:customStyle="1" w:styleId="HeadingProcedure">
    <w:name w:val="Heading Procedure"/>
    <w:basedOn w:val="HeadingBase"/>
    <w:next w:val="Normal"/>
    <w:rsid w:val="00F37E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E9E"/>
    <w:pPr>
      <w:spacing w:before="60" w:after="60"/>
    </w:pPr>
  </w:style>
  <w:style w:type="paragraph" w:styleId="ListContinue">
    <w:name w:val="List Continue"/>
    <w:basedOn w:val="List"/>
    <w:rsid w:val="00F37E9E"/>
    <w:pPr>
      <w:ind w:firstLine="0"/>
    </w:pPr>
  </w:style>
  <w:style w:type="paragraph" w:customStyle="1" w:styleId="ListNote">
    <w:name w:val="List Note"/>
    <w:basedOn w:val="List"/>
    <w:rsid w:val="00F37E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E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E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E9E"/>
    <w:rPr>
      <w:rFonts w:ascii="Courier New" w:hAnsi="Courier New"/>
    </w:rPr>
  </w:style>
  <w:style w:type="paragraph" w:customStyle="1" w:styleId="NoteBullet">
    <w:name w:val="Note Bullet"/>
    <w:basedOn w:val="Note"/>
    <w:rsid w:val="00F37E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E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E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E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E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7E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E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E9E"/>
    <w:rPr>
      <w:b/>
      <w:smallCaps/>
    </w:rPr>
  </w:style>
  <w:style w:type="paragraph" w:customStyle="1" w:styleId="TableListNumber">
    <w:name w:val="Table List Number"/>
    <w:basedOn w:val="ListNumber"/>
    <w:rsid w:val="00F37E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E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E9E"/>
    <w:pPr>
      <w:numPr>
        <w:numId w:val="9"/>
      </w:numPr>
    </w:pPr>
  </w:style>
  <w:style w:type="paragraph" w:customStyle="1" w:styleId="ListAlpha2">
    <w:name w:val="List Alpha 2"/>
    <w:basedOn w:val="List2"/>
    <w:rsid w:val="00F37E9E"/>
    <w:pPr>
      <w:numPr>
        <w:numId w:val="8"/>
      </w:numPr>
    </w:pPr>
  </w:style>
  <w:style w:type="paragraph" w:styleId="List2">
    <w:name w:val="List 2"/>
    <w:basedOn w:val="BodyText"/>
    <w:rsid w:val="00F37E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E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E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E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E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E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7E9E"/>
    <w:pPr>
      <w:numPr>
        <w:numId w:val="4"/>
      </w:numPr>
    </w:pPr>
  </w:style>
  <w:style w:type="paragraph" w:styleId="ListContinue2">
    <w:name w:val="List Continue 2"/>
    <w:basedOn w:val="List2"/>
    <w:rsid w:val="00F37E9E"/>
    <w:pPr>
      <w:ind w:firstLine="0"/>
    </w:pPr>
  </w:style>
  <w:style w:type="paragraph" w:styleId="ListContinue3">
    <w:name w:val="List Continue 3"/>
    <w:basedOn w:val="List3"/>
    <w:rsid w:val="00F37E9E"/>
    <w:pPr>
      <w:ind w:left="1021" w:firstLine="0"/>
    </w:pPr>
  </w:style>
  <w:style w:type="paragraph" w:styleId="ListContinue4">
    <w:name w:val="List Continue 4"/>
    <w:basedOn w:val="List4"/>
    <w:rsid w:val="00F37E9E"/>
    <w:pPr>
      <w:ind w:firstLine="0"/>
    </w:pPr>
  </w:style>
  <w:style w:type="paragraph" w:styleId="ListContinue5">
    <w:name w:val="List Continue 5"/>
    <w:basedOn w:val="List5"/>
    <w:rsid w:val="00F37E9E"/>
    <w:pPr>
      <w:ind w:firstLine="0"/>
    </w:pPr>
  </w:style>
  <w:style w:type="paragraph" w:styleId="ListNumber3">
    <w:name w:val="List Number 3"/>
    <w:basedOn w:val="List3"/>
    <w:rsid w:val="00F37E9E"/>
    <w:pPr>
      <w:numPr>
        <w:numId w:val="5"/>
      </w:numPr>
    </w:pPr>
  </w:style>
  <w:style w:type="paragraph" w:styleId="ListNumber4">
    <w:name w:val="List Number 4"/>
    <w:basedOn w:val="List4"/>
    <w:rsid w:val="00F37E9E"/>
    <w:pPr>
      <w:numPr>
        <w:numId w:val="6"/>
      </w:numPr>
    </w:pPr>
  </w:style>
  <w:style w:type="paragraph" w:styleId="ListNumber5">
    <w:name w:val="List Number 5"/>
    <w:basedOn w:val="List5"/>
    <w:rsid w:val="00F37E9E"/>
    <w:pPr>
      <w:numPr>
        <w:numId w:val="7"/>
      </w:numPr>
    </w:pPr>
  </w:style>
  <w:style w:type="paragraph" w:styleId="BlockText">
    <w:name w:val="Block Text"/>
    <w:basedOn w:val="Normal"/>
    <w:rsid w:val="00F37E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E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E9E"/>
    <w:rPr>
      <w:sz w:val="16"/>
      <w:vertAlign w:val="superscript"/>
    </w:rPr>
  </w:style>
  <w:style w:type="character" w:customStyle="1" w:styleId="Symbols">
    <w:name w:val="Symbols"/>
    <w:basedOn w:val="DefaultParagraphFont"/>
    <w:rsid w:val="00F37E9E"/>
    <w:rPr>
      <w:rFonts w:ascii="Symbol" w:hAnsi="Symbol"/>
    </w:rPr>
  </w:style>
  <w:style w:type="character" w:customStyle="1" w:styleId="MenuOptions">
    <w:name w:val="Menu Options"/>
    <w:basedOn w:val="DefaultParagraphFont"/>
    <w:rsid w:val="00F37E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E9E"/>
    <w:rPr>
      <w:b/>
    </w:rPr>
  </w:style>
  <w:style w:type="character" w:customStyle="1" w:styleId="Underlined">
    <w:name w:val="Underlined"/>
    <w:basedOn w:val="DefaultParagraphFont"/>
    <w:rsid w:val="00F37E9E"/>
    <w:rPr>
      <w:u w:val="single"/>
    </w:rPr>
  </w:style>
  <w:style w:type="paragraph" w:customStyle="1" w:styleId="TableBodyTextRight">
    <w:name w:val="Table Body Text Right"/>
    <w:basedOn w:val="TableBodyText"/>
    <w:rsid w:val="00F37E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E9E"/>
    <w:rPr>
      <w:sz w:val="18"/>
    </w:rPr>
  </w:style>
  <w:style w:type="paragraph" w:customStyle="1" w:styleId="BodySmallRight">
    <w:name w:val="Body Small Right"/>
    <w:basedOn w:val="BodyTextRight"/>
    <w:rsid w:val="00F37E9E"/>
    <w:rPr>
      <w:sz w:val="18"/>
      <w:szCs w:val="18"/>
    </w:rPr>
  </w:style>
  <w:style w:type="paragraph" w:customStyle="1" w:styleId="MarginEdition">
    <w:name w:val="Margin Edition"/>
    <w:basedOn w:val="MarginNote"/>
    <w:rsid w:val="00F37E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E9E"/>
    <w:rPr>
      <w:sz w:val="2"/>
      <w:szCs w:val="2"/>
    </w:rPr>
  </w:style>
  <w:style w:type="character" w:customStyle="1" w:styleId="Small">
    <w:name w:val="Small"/>
    <w:basedOn w:val="DefaultParagraphFont"/>
    <w:rsid w:val="00F37E9E"/>
    <w:rPr>
      <w:sz w:val="16"/>
    </w:rPr>
  </w:style>
  <w:style w:type="paragraph" w:customStyle="1" w:styleId="WideTable">
    <w:name w:val="Wide Table"/>
    <w:basedOn w:val="Normal"/>
    <w:rsid w:val="00F37E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E9E"/>
  </w:style>
  <w:style w:type="paragraph" w:styleId="Quote">
    <w:name w:val="Quote"/>
    <w:basedOn w:val="Heading1"/>
    <w:link w:val="QuoteChar"/>
    <w:qFormat/>
    <w:rsid w:val="00F37E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E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E9E"/>
    <w:pPr>
      <w:pageBreakBefore/>
    </w:pPr>
  </w:style>
  <w:style w:type="paragraph" w:customStyle="1" w:styleId="Border">
    <w:name w:val="Border"/>
    <w:basedOn w:val="Normal"/>
    <w:qFormat/>
    <w:rsid w:val="00F37E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E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E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E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E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E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E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E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E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E9E"/>
    <w:rPr>
      <w:u w:val="single"/>
    </w:rPr>
  </w:style>
  <w:style w:type="character" w:customStyle="1" w:styleId="BoldandItalics">
    <w:name w:val="Bold and Italics"/>
    <w:qFormat/>
    <w:rsid w:val="00F37E9E"/>
    <w:rPr>
      <w:b/>
      <w:i/>
      <w:u w:val="none"/>
    </w:rPr>
  </w:style>
  <w:style w:type="paragraph" w:styleId="BalloonText">
    <w:name w:val="Balloon Text"/>
    <w:basedOn w:val="Normal"/>
    <w:link w:val="BalloonTextChar"/>
    <w:rsid w:val="00F37E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E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E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E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E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E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E9E"/>
    <w:pPr>
      <w:spacing w:before="0" w:after="0"/>
    </w:pPr>
  </w:style>
  <w:style w:type="paragraph" w:customStyle="1" w:styleId="BodyTextBold">
    <w:name w:val="Body Text Bold"/>
    <w:basedOn w:val="BodyText"/>
    <w:qFormat/>
    <w:rsid w:val="00F37E9E"/>
    <w:rPr>
      <w:b/>
    </w:rPr>
  </w:style>
  <w:style w:type="character" w:styleId="Hyperlink">
    <w:name w:val="Hyperlink"/>
    <w:basedOn w:val="DefaultParagraphFont"/>
    <w:uiPriority w:val="99"/>
    <w:unhideWhenUsed/>
    <w:rsid w:val="00BF7E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693</Words>
  <Characters>4789</Characters>
  <Application>Microsoft Office Word</Application>
  <DocSecurity>0</DocSecurity>
  <Lines>101</Lines>
  <Paragraphs>65</Paragraphs>
  <ScaleCrop>false</ScaleCrop>
  <Company>Author-it Software Corporation Ltd.</Company>
  <LinksUpToDate>false</LinksUpToDate>
  <CharactersWithSpaces>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MEM23130 Coordinate servicing and fault-finding of HVACR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2023-02-03T07:12:00Z</dcterms:created>
  <dcterms:modified xsi:type="dcterms:W3CDTF">2023-02-03T07:12:00Z</dcterms:modified>
</cp:coreProperties>
</file>