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4C" w:rsidP="006C0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MEM23129 Evaluate thermal loads for heating, ventilation, air conditioning and refrigeration</w:t>
      </w:r>
      <w:r>
        <w:fldChar w:fldCharType="end"/>
      </w:r>
    </w:p>
    <w:p w:rsidR="006C054C" w:rsidP="006C054C">
      <w:pPr>
        <w:pStyle w:val="Version"/>
        <w:sectPr w:rsidSect="00634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AFF" w:rsidP="00634AFF">
      <w:pPr>
        <w:pStyle w:val="SuperHeading"/>
      </w:pPr>
      <w:r w:rsidRPr="00634AFF">
        <w:t>MEM23129 Evaluate thermal loads for heating, ventilation, air conditioning and refrigeration</w:t>
      </w:r>
    </w:p>
    <w:p w:rsidR="00000000" w:rsidRPr="00634AFF" w:rsidP="00634AFF">
      <w:pPr>
        <w:pStyle w:val="Heading1"/>
      </w:pPr>
      <w:bookmarkStart w:id="1" w:name="O_944265"/>
      <w:bookmarkEnd w:id="1"/>
      <w:r w:rsidRPr="00634AFF">
        <w:t>Modification History</w:t>
      </w:r>
    </w:p>
    <w:p w:rsidR="006C054C" w:rsidP="006C054C">
      <w:pPr>
        <w:pStyle w:val="BodyText"/>
      </w:pPr>
      <w:r w:rsidRPr="00634AFF">
        <w:t>Release 1. Supersedes and is equivalent to MEM23</w:t>
      </w:r>
      <w:r w:rsidRPr="00634AFF">
        <w:t>129A Evaluate thermal loads for heating, ventilation, air conditioning and refrigeration.</w:t>
      </w:r>
    </w:p>
    <w:p w:rsidR="00000000" w:rsidRPr="00634AFF" w:rsidP="00634AFF">
      <w:pPr>
        <w:pStyle w:val="Heading1"/>
      </w:pPr>
      <w:bookmarkStart w:id="2" w:name="O_944273"/>
      <w:bookmarkEnd w:id="2"/>
      <w:r w:rsidRPr="00634AFF">
        <w:t>Application</w:t>
      </w:r>
    </w:p>
    <w:p w:rsidR="00000000" w:rsidRPr="00634AFF" w:rsidP="006C054C">
      <w:pPr>
        <w:pStyle w:val="BodyText"/>
      </w:pPr>
      <w:r w:rsidRPr="00634AFF">
        <w:t>This unit of competency defines the skills and knowledge required to evaluate thermal load estimates for heating, ventilation, air condi</w:t>
      </w:r>
      <w:r w:rsidRPr="00634AFF">
        <w:t xml:space="preserve">tioning and refrigeration (HVACR) systems in multiple zone commercial/industrial buildings and engineering facilities, commercial refrigeration systems and related installations. It includes consideration of work health and safety (WHS) and related safety </w:t>
      </w:r>
      <w:r w:rsidRPr="00634AFF">
        <w:t>compliance requirements, and system evaluation, including the use of software and validation, thermodynamic concepts and laws.</w:t>
      </w:r>
    </w:p>
    <w:p w:rsidR="00000000" w:rsidRPr="00634AFF" w:rsidP="006C054C">
      <w:pPr>
        <w:pStyle w:val="BodyText"/>
      </w:pPr>
      <w:r w:rsidRPr="00634AFF">
        <w:t>It is suitable for people working as technicians, system designers, draftspersons, maintainers, and those pursuing careers and qu</w:t>
      </w:r>
      <w:r w:rsidRPr="00634AFF">
        <w:t>alifications in engineering or related disciplines.</w:t>
      </w:r>
    </w:p>
    <w:p w:rsidR="006C054C" w:rsidP="006C054C">
      <w:pPr>
        <w:pStyle w:val="BodyText"/>
      </w:pPr>
      <w:r w:rsidRPr="00634AFF">
        <w:t>No licensing, legislative or certification requirements apply to this unit at the time of publication.</w:t>
      </w:r>
    </w:p>
    <w:p w:rsidR="00000000" w:rsidRPr="00634AFF" w:rsidP="00634AFF">
      <w:pPr>
        <w:pStyle w:val="Heading1"/>
      </w:pPr>
      <w:bookmarkStart w:id="3" w:name="O_944272"/>
      <w:bookmarkEnd w:id="3"/>
      <w:r w:rsidRPr="00634AFF">
        <w:t>Pre-requisite Unit</w:t>
      </w:r>
    </w:p>
    <w:p w:rsidR="00000000" w:rsidRPr="00634AFF" w:rsidP="006C054C">
      <w:pPr>
        <w:pStyle w:val="BodyText"/>
      </w:pPr>
      <w:r w:rsidRPr="00634AFF">
        <w:t>MEM23004 Apply technical mathematics</w:t>
      </w:r>
    </w:p>
    <w:p w:rsidR="006C054C" w:rsidP="006C054C">
      <w:pPr>
        <w:pStyle w:val="BodyText"/>
      </w:pPr>
      <w:r w:rsidRPr="00634AFF">
        <w:t>MEM23006 Apply fluid and th</w:t>
      </w:r>
      <w:r w:rsidRPr="00634AFF">
        <w:t>ermodynamics principles in engineering</w:t>
      </w:r>
    </w:p>
    <w:p w:rsidR="00000000" w:rsidRPr="00634AFF" w:rsidP="00634AFF">
      <w:pPr>
        <w:pStyle w:val="Heading1"/>
      </w:pPr>
      <w:bookmarkStart w:id="4" w:name="O_944271"/>
      <w:bookmarkEnd w:id="4"/>
      <w:r w:rsidRPr="00634AFF">
        <w:t>Competency Field</w:t>
      </w:r>
    </w:p>
    <w:p w:rsidR="006C054C" w:rsidP="006C054C">
      <w:pPr>
        <w:pStyle w:val="BodyText"/>
      </w:pPr>
      <w:r w:rsidRPr="00634AFF">
        <w:t>Engineering science</w:t>
      </w:r>
    </w:p>
    <w:p w:rsidR="00000000" w:rsidRPr="00634AFF" w:rsidP="00634AFF">
      <w:pPr>
        <w:pStyle w:val="Heading1"/>
      </w:pPr>
      <w:bookmarkStart w:id="5" w:name="O_944269"/>
      <w:bookmarkEnd w:id="5"/>
      <w:r w:rsidRPr="00634AF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C05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BodyText"/>
            </w:pPr>
            <w:r w:rsidRPr="00634AF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rPr>
                <w:rStyle w:val="SpecialBold"/>
              </w:rPr>
              <w:t>Performance Criteria</w:t>
            </w:r>
          </w:p>
        </w:tc>
      </w:tr>
      <w:tr w:rsidTr="006C05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BodyText"/>
            </w:pPr>
            <w:r w:rsidRPr="00634AFF">
              <w:rPr>
                <w:rStyle w:val="Emphasis"/>
              </w:rPr>
              <w:t xml:space="preserve">Elements describe the </w:t>
            </w:r>
            <w:r w:rsidRPr="00634AFF">
              <w:t xml:space="preserve">essential </w:t>
            </w:r>
            <w:r w:rsidRPr="00634AF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05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 xml:space="preserve">1. Determine scope of evaluation of thermal </w:t>
            </w:r>
            <w:r w:rsidRPr="00634AFF">
              <w:t>loads and HVACR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BodyText"/>
            </w:pPr>
            <w:r w:rsidRPr="00634AFF">
              <w:t>1.1 Establish type, location and scope of HVACR systems, building and refrigerated enclosur</w:t>
            </w:r>
            <w:r w:rsidRPr="00634AFF">
              <w:t xml:space="preserve">es from plans, data sheets, specifications and site </w:t>
            </w:r>
            <w:r w:rsidRPr="00634AFF">
              <w:t>inspections</w:t>
            </w:r>
          </w:p>
          <w:p w:rsidR="00000000" w:rsidRPr="00634AFF" w:rsidP="00634AFF">
            <w:pPr>
              <w:pStyle w:val="BodyText"/>
            </w:pPr>
            <w:r w:rsidRPr="00634AFF">
              <w:t>1.2 Identify stakeholders to be consulted during evaluation</w:t>
            </w:r>
          </w:p>
          <w:p w:rsidR="00000000" w:rsidRPr="00634AFF" w:rsidP="00634AFF">
            <w:pPr>
              <w:pStyle w:val="BodyText"/>
            </w:pPr>
            <w:r w:rsidRPr="00634AFF">
              <w:t>1.3 Establish software and software techniques required for evaluation analysis</w:t>
            </w:r>
          </w:p>
          <w:p w:rsidR="00000000" w:rsidRPr="00634AFF" w:rsidP="00634AFF">
            <w:pPr>
              <w:pStyle w:val="BodyText"/>
            </w:pPr>
            <w:r w:rsidRPr="00634AFF">
              <w:t>1.4 Determine WHS, regulatory and environmental requ</w:t>
            </w:r>
            <w:r w:rsidRPr="00634AFF">
              <w:t>irements relevant to evaluation</w:t>
            </w:r>
          </w:p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1.5 Investigate sustainability implications of HVACR and building management systems</w:t>
            </w:r>
          </w:p>
        </w:tc>
      </w:tr>
      <w:tr w:rsidTr="006C05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2. Prepare for thermal loads and HVACR systems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BodyText"/>
            </w:pPr>
            <w:r w:rsidRPr="00634AFF">
              <w:t>2.1 Review thermal load analysis techniques for multiple zone commercial or industrial buildings, including use of tabulations and computer software</w:t>
            </w:r>
          </w:p>
          <w:p w:rsidR="00000000" w:rsidRPr="00634AFF" w:rsidP="00634AFF">
            <w:pPr>
              <w:pStyle w:val="BodyText"/>
            </w:pPr>
            <w:r w:rsidRPr="00634AFF">
              <w:t>2.2 Identify sources of heat gains for building</w:t>
            </w:r>
          </w:p>
          <w:p w:rsidR="00000000" w:rsidRPr="00634AFF" w:rsidP="00634AFF">
            <w:pPr>
              <w:pStyle w:val="BodyText"/>
            </w:pPr>
            <w:r w:rsidRPr="00634AFF">
              <w:t>2.3 Review room sensible and latent heat, including peak va</w:t>
            </w:r>
            <w:r w:rsidRPr="00634AFF">
              <w:t>lues</w:t>
            </w:r>
          </w:p>
          <w:p w:rsidR="00000000" w:rsidRPr="00634AFF" w:rsidP="00634AFF">
            <w:pPr>
              <w:pStyle w:val="BodyText"/>
            </w:pPr>
            <w:r w:rsidRPr="00634AFF">
              <w:t>2.4 Review thermal load analysis techniques for commercial refrigeration systems, including use of tabulations and computer software</w:t>
            </w:r>
          </w:p>
          <w:p w:rsidR="00000000" w:rsidRPr="00634AFF" w:rsidP="00634AFF">
            <w:pPr>
              <w:pStyle w:val="BodyText"/>
            </w:pPr>
            <w:r w:rsidRPr="00634AFF">
              <w:t>2.5 Identify heat load sources for refrigerated enclosures or zones</w:t>
            </w:r>
          </w:p>
          <w:p w:rsidR="00000000" w:rsidRPr="00634AFF" w:rsidP="00634AFF">
            <w:pPr>
              <w:pStyle w:val="BodyText"/>
            </w:pPr>
            <w:r w:rsidRPr="00634AFF">
              <w:t>2.6 Determine tools, equipment, testing devices an</w:t>
            </w:r>
            <w:r w:rsidRPr="00634AFF">
              <w:t>d materials required for evaluation</w:t>
            </w:r>
          </w:p>
          <w:p w:rsidR="00000000" w:rsidRPr="00634AFF" w:rsidP="00634AFF">
            <w:pPr>
              <w:pStyle w:val="BodyText"/>
            </w:pPr>
            <w:r w:rsidRPr="00634AFF">
              <w:t>2.7 Determine required measurements and measurement techniques</w:t>
            </w:r>
          </w:p>
          <w:p w:rsidR="00000000" w:rsidRPr="00634AFF" w:rsidP="00634AFF">
            <w:pPr>
              <w:pStyle w:val="BodyText"/>
            </w:pPr>
            <w:r w:rsidRPr="00634AFF">
              <w:t>2.8 Calibrate, set up, and test measurement equipment and procedures</w:t>
            </w:r>
          </w:p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2.9 Identify appropriate analysis techniques, analysis and simulation software and softw</w:t>
            </w:r>
            <w:r w:rsidRPr="00634AFF">
              <w:t>are validation techniques</w:t>
            </w:r>
          </w:p>
        </w:tc>
      </w:tr>
      <w:tr w:rsidTr="006C05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3. Evaluate thermal loads and HVACR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BodyText"/>
            </w:pPr>
            <w:r w:rsidRPr="00634AFF">
              <w:t xml:space="preserve">3.1 Evaluate thermal load for a commercial refrigeration system </w:t>
            </w:r>
          </w:p>
          <w:p w:rsidR="00000000" w:rsidRPr="00634AFF" w:rsidP="00634AFF">
            <w:pPr>
              <w:pStyle w:val="BodyText"/>
            </w:pPr>
            <w:r w:rsidRPr="00634AFF">
              <w:t>3.2 Evaluate thermal load for a multiple zone commercial or industrial building</w:t>
            </w:r>
          </w:p>
          <w:p w:rsidR="00000000" w:rsidRPr="00634AFF" w:rsidP="00634AFF">
            <w:pPr>
              <w:pStyle w:val="BodyText"/>
            </w:pPr>
            <w:r w:rsidRPr="00634AFF">
              <w:t>3.3 Evaluate the effects of internal and</w:t>
            </w:r>
            <w:r w:rsidRPr="00634AFF">
              <w:t xml:space="preserve"> external parameter changes on refrigeration system performance</w:t>
            </w:r>
          </w:p>
          <w:p w:rsidR="00000000" w:rsidRPr="00634AFF" w:rsidP="00634AFF">
            <w:pPr>
              <w:pStyle w:val="BodyText"/>
            </w:pPr>
            <w:r w:rsidRPr="00634AFF">
              <w:t>3.4 Evaluate thermal performance of a building and options for design improvements</w:t>
            </w:r>
          </w:p>
          <w:p w:rsidR="00000000" w:rsidRPr="00634AFF" w:rsidP="00634AFF">
            <w:pPr>
              <w:pStyle w:val="BodyText"/>
            </w:pPr>
            <w:r w:rsidRPr="00634AFF">
              <w:t>3.5 Evaluate building to identify and mitigate high thermal loads</w:t>
            </w:r>
          </w:p>
          <w:p w:rsidR="00000000" w:rsidRPr="00634AFF" w:rsidP="00634AFF">
            <w:pPr>
              <w:pStyle w:val="BodyText"/>
            </w:pPr>
            <w:r w:rsidRPr="00634AFF">
              <w:t>3.6 Evaluate performance of refrigeration a</w:t>
            </w:r>
            <w:r w:rsidRPr="00634AFF">
              <w:t>nd air conditioning system against specifications and determine optimum operational settings</w:t>
            </w:r>
          </w:p>
          <w:p w:rsidR="00000000" w:rsidRPr="00634AFF" w:rsidP="00634AFF">
            <w:pPr>
              <w:pStyle w:val="BodyText"/>
            </w:pPr>
            <w:r w:rsidRPr="00634AFF">
              <w:t xml:space="preserve">3.7 Evaluate equipment size, including coil and air handling unit </w:t>
            </w:r>
            <w:r w:rsidRPr="00634AFF">
              <w:t>capacities for constant and variable volume systems, and central refrigeration and boiler capacit</w:t>
            </w:r>
            <w:r w:rsidRPr="00634AFF">
              <w:t>ies</w:t>
            </w:r>
          </w:p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3.8 Evaluate and validate software for refrigeration and building thermal performance analysis and system simulation</w:t>
            </w:r>
          </w:p>
        </w:tc>
      </w:tr>
      <w:tr w:rsidTr="006C05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BodyText"/>
            </w:pPr>
            <w:r w:rsidRPr="00634AFF">
              <w:t>4.1 Record results of evaluation, including recommendations for design and system setting optimisation</w:t>
            </w:r>
          </w:p>
          <w:p w:rsidR="00000000" w:rsidRPr="00634AFF" w:rsidP="00634AFF">
            <w:pPr>
              <w:pStyle w:val="BodyText"/>
            </w:pPr>
            <w:r w:rsidRPr="00634AFF">
              <w:t xml:space="preserve">4.2 Provide documentation that includes written and visual details of processes and results </w:t>
            </w:r>
          </w:p>
        </w:tc>
      </w:tr>
    </w:tbl>
    <w:p w:rsidR="006C054C" w:rsidP="00634AFF">
      <w:pPr>
        <w:pStyle w:val="BodyText"/>
      </w:pPr>
    </w:p>
    <w:p w:rsidR="006C054C" w:rsidP="00634AFF">
      <w:pPr>
        <w:pStyle w:val="BodyText"/>
      </w:pPr>
    </w:p>
    <w:p w:rsidR="00000000" w:rsidRPr="00634AFF" w:rsidP="00634AFF">
      <w:pPr>
        <w:pStyle w:val="Heading1"/>
      </w:pPr>
      <w:bookmarkStart w:id="6" w:name="O_944268"/>
      <w:bookmarkEnd w:id="6"/>
      <w:r w:rsidRPr="00634AFF">
        <w:t>Foundation Skills</w:t>
      </w:r>
    </w:p>
    <w:p w:rsidR="00000000" w:rsidRPr="00634AFF" w:rsidP="006C054C">
      <w:pPr>
        <w:pStyle w:val="BodyText"/>
      </w:pPr>
      <w:r w:rsidRPr="00634AFF">
        <w:t>This section describes those language, literacy, numeracy and employment skills that are essential to performance.</w:t>
      </w:r>
    </w:p>
    <w:p w:rsidR="006C054C" w:rsidP="006C054C">
      <w:pPr>
        <w:pStyle w:val="BodyText"/>
      </w:pPr>
      <w:r w:rsidRPr="00634AFF">
        <w:t>Foundation</w:t>
      </w:r>
      <w:r w:rsidRPr="00634AFF">
        <w:t xml:space="preserve"> skills essential to performance are explicit in the performance criteria of this unit of competency.</w:t>
      </w:r>
    </w:p>
    <w:p w:rsidR="00000000" w:rsidRPr="00634AFF" w:rsidP="00634AFF">
      <w:pPr>
        <w:pStyle w:val="Heading1"/>
      </w:pPr>
      <w:bookmarkStart w:id="7" w:name="O_944267"/>
      <w:bookmarkEnd w:id="7"/>
      <w:r w:rsidRPr="00634AF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This field allows for different work environments and conditions that may affect performance. Essential operating co</w:t>
            </w:r>
            <w:r w:rsidRPr="00634AFF">
              <w:t>nditions that may be present (depending on the work situation, needs of the candidate, accessibility of the item, and local industry and regional contexts) are included.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>meeting all regulatory requirements</w:t>
            </w:r>
          </w:p>
          <w:p w:rsidR="00000000" w:rsidRPr="00634AFF" w:rsidP="00634AFF">
            <w:pPr>
              <w:pStyle w:val="ListBullet"/>
            </w:pPr>
            <w:r w:rsidRPr="00634AFF">
              <w:t>conforming to all industry covenants, protocols and best practice guides</w:t>
            </w:r>
          </w:p>
          <w:p w:rsidR="00000000" w:rsidRPr="00634AFF" w:rsidP="00634AFF">
            <w:pPr>
              <w:pStyle w:val="ListBullet"/>
            </w:pPr>
            <w:r w:rsidRPr="00634AFF">
              <w:t>minimising ecological and environmental footprint of process, plant and product</w:t>
            </w:r>
          </w:p>
          <w:p w:rsidR="00000000" w:rsidRPr="00634AFF" w:rsidP="00634AFF">
            <w:pPr>
              <w:pStyle w:val="ListBullet"/>
            </w:pPr>
            <w:r w:rsidRPr="00634AFF">
              <w:t>maximising economic benefit of process plant and product to the organisation and the community</w:t>
            </w:r>
          </w:p>
          <w:p w:rsidR="00000000" w:rsidP="00634AFF">
            <w:pPr>
              <w:pStyle w:val="ListBullet"/>
              <w:rPr>
                <w:lang w:val="en-NZ"/>
              </w:rPr>
            </w:pPr>
            <w:r w:rsidRPr="00634AFF">
              <w:t>minimisi</w:t>
            </w:r>
            <w:r w:rsidRPr="00634AFF">
              <w:t>ng the negative WHS impact on employees, community and customer.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Appropriate technical and professional assistance includes.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 xml:space="preserve">technical support and advice relating to elements which have intrinsic dangers </w:t>
            </w:r>
          </w:p>
          <w:p w:rsidR="00000000" w:rsidP="00634AFF">
            <w:pPr>
              <w:pStyle w:val="ListBullet"/>
              <w:rPr>
                <w:lang w:val="en-NZ"/>
              </w:rPr>
            </w:pPr>
            <w:r w:rsidRPr="00634AFF">
              <w:t>professional support for technologies.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WHS, regu</w:t>
            </w:r>
            <w:r w:rsidRPr="00634AFF">
              <w:t>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>WHS acts and regulations and relevant standards</w:t>
            </w:r>
          </w:p>
          <w:p w:rsidR="00000000" w:rsidRPr="00634AFF" w:rsidP="00634AFF">
            <w:pPr>
              <w:pStyle w:val="ListBullet"/>
            </w:pPr>
            <w:r w:rsidRPr="00634AFF">
              <w:t>codes of practice from Australian and overseas engineering and technical associations and societies</w:t>
            </w:r>
          </w:p>
          <w:p w:rsidR="00000000" w:rsidRPr="00634AFF" w:rsidP="00634AFF">
            <w:pPr>
              <w:pStyle w:val="ListBullet"/>
            </w:pPr>
            <w:r w:rsidRPr="00634AFF">
              <w:t>risk assessments</w:t>
            </w:r>
          </w:p>
          <w:p w:rsidR="00000000" w:rsidRPr="00634AFF" w:rsidP="00634AFF">
            <w:pPr>
              <w:pStyle w:val="ListBullet"/>
            </w:pPr>
            <w:r w:rsidRPr="00634AFF">
              <w:t>registration requirements</w:t>
            </w:r>
          </w:p>
          <w:p w:rsidR="00000000" w:rsidRPr="00634AFF" w:rsidP="00634AFF">
            <w:pPr>
              <w:pStyle w:val="ListBullet"/>
            </w:pPr>
            <w:r w:rsidRPr="00634AFF">
              <w:t xml:space="preserve">safe </w:t>
            </w:r>
            <w:r w:rsidRPr="00634AFF">
              <w:t>work practices</w:t>
            </w:r>
          </w:p>
          <w:p w:rsidR="00000000" w:rsidP="00634AFF">
            <w:pPr>
              <w:pStyle w:val="ListBullet"/>
              <w:rPr>
                <w:lang w:val="en-NZ"/>
              </w:rPr>
            </w:pPr>
            <w:r w:rsidRPr="00634AFF">
              <w:t>state and territory regulatory requirements.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Building heat gains are affected by: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>external, internal and system heat gains</w:t>
            </w:r>
          </w:p>
          <w:p w:rsidR="00000000" w:rsidRPr="00634AFF" w:rsidP="00634AFF">
            <w:pPr>
              <w:pStyle w:val="ListBullet"/>
            </w:pPr>
            <w:r w:rsidRPr="00634AFF">
              <w:t>U values and infiltration rates for various wall and roof constructions</w:t>
            </w:r>
          </w:p>
          <w:p w:rsidR="00000000" w:rsidP="00634AFF">
            <w:pPr>
              <w:pStyle w:val="ListBullet"/>
              <w:rPr>
                <w:lang w:val="en-NZ"/>
              </w:rPr>
            </w:pPr>
            <w:r w:rsidRPr="00634AFF">
              <w:t>sun, Azimuth and altitude angles, and overall shade factors for various windows.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Commercial refrigeration cabinets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>defrost and heating systems</w:t>
            </w:r>
          </w:p>
          <w:p w:rsidR="00000000" w:rsidRPr="00634AFF" w:rsidP="00634AFF">
            <w:pPr>
              <w:pStyle w:val="ListBullet"/>
            </w:pPr>
            <w:r w:rsidRPr="00634AFF">
              <w:t>temperature control</w:t>
            </w:r>
          </w:p>
          <w:p w:rsidR="00000000" w:rsidRPr="00634AFF" w:rsidP="00634AFF">
            <w:pPr>
              <w:pStyle w:val="ListBullet"/>
            </w:pPr>
            <w:r w:rsidRPr="00634AFF">
              <w:t>air flows (refrigeration)</w:t>
            </w:r>
          </w:p>
          <w:p w:rsidR="00000000" w:rsidRPr="00634AFF" w:rsidP="00634AFF">
            <w:pPr>
              <w:pStyle w:val="ListBullet"/>
            </w:pPr>
            <w:r w:rsidRPr="00634AFF">
              <w:t>air screens (refrigerated and ambient store)</w:t>
            </w:r>
          </w:p>
          <w:p w:rsidR="00000000" w:rsidRPr="00634AFF" w:rsidP="00634AFF">
            <w:pPr>
              <w:pStyle w:val="ListBullet"/>
            </w:pPr>
            <w:r w:rsidRPr="00634AFF">
              <w:t>types of ev</w:t>
            </w:r>
            <w:r w:rsidRPr="00634AFF">
              <w:t>aporation</w:t>
            </w:r>
          </w:p>
          <w:p w:rsidR="00000000" w:rsidP="00634AFF">
            <w:pPr>
              <w:pStyle w:val="ListBullet"/>
              <w:rPr>
                <w:lang w:val="en-NZ"/>
              </w:rPr>
            </w:pPr>
            <w:r w:rsidRPr="00634AFF">
              <w:t>lighting.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Miscellaneous heat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>electrical load</w:t>
            </w:r>
          </w:p>
          <w:p w:rsidR="00000000" w:rsidRPr="00634AFF" w:rsidP="00634AFF">
            <w:pPr>
              <w:pStyle w:val="ListBullet"/>
            </w:pPr>
            <w:r w:rsidRPr="00634AFF">
              <w:t>human load</w:t>
            </w:r>
          </w:p>
          <w:p w:rsidR="00000000" w:rsidRPr="00634AFF" w:rsidP="00634AFF">
            <w:pPr>
              <w:pStyle w:val="ListBullet"/>
            </w:pPr>
            <w:r w:rsidRPr="00634AFF">
              <w:t>defrost load</w:t>
            </w:r>
          </w:p>
          <w:p w:rsidR="00000000" w:rsidP="00634AFF">
            <w:pPr>
              <w:pStyle w:val="ListBullet"/>
              <w:rPr>
                <w:lang w:val="en-NZ"/>
              </w:rPr>
            </w:pPr>
            <w:r w:rsidRPr="00634AFF">
              <w:t>machinery load.</w:t>
            </w:r>
          </w:p>
        </w:tc>
      </w:tr>
      <w:tr w:rsidTr="00634A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AFF">
            <w:pPr>
              <w:pStyle w:val="BodyText"/>
              <w:rPr>
                <w:lang w:val="en-NZ"/>
              </w:rPr>
            </w:pPr>
            <w:r w:rsidRPr="00634AFF">
              <w:t>Relevant documentation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AFF" w:rsidP="00634AFF">
            <w:pPr>
              <w:pStyle w:val="ListBullet"/>
            </w:pPr>
            <w:r w:rsidRPr="00634AFF">
              <w:t>thermal load audits</w:t>
            </w:r>
          </w:p>
          <w:p w:rsidR="00000000" w:rsidRPr="00634AFF" w:rsidP="00634AFF">
            <w:pPr>
              <w:pStyle w:val="ListBullet"/>
            </w:pPr>
            <w:r w:rsidRPr="00634AFF">
              <w:t>calculations for heating and cooling loads</w:t>
            </w:r>
          </w:p>
          <w:p w:rsidR="00000000" w:rsidRPr="00634AFF" w:rsidP="00634AFF">
            <w:pPr>
              <w:pStyle w:val="ListBullet"/>
            </w:pPr>
            <w:r w:rsidRPr="00634AFF">
              <w:t>building and refrigeration layouts</w:t>
            </w:r>
          </w:p>
          <w:p w:rsidR="00000000" w:rsidRPr="00634AFF" w:rsidP="00634AFF">
            <w:pPr>
              <w:pStyle w:val="ListBullet"/>
            </w:pPr>
            <w:r w:rsidRPr="00634AFF">
              <w:t>heating and cooling system and component arrangements</w:t>
            </w:r>
          </w:p>
          <w:p w:rsidR="00000000" w:rsidRPr="00634AFF" w:rsidP="00634AFF">
            <w:pPr>
              <w:pStyle w:val="ListBullet"/>
            </w:pPr>
            <w:r w:rsidRPr="00634AFF">
              <w:t>system improvement diagrams.</w:t>
            </w:r>
          </w:p>
        </w:tc>
      </w:tr>
    </w:tbl>
    <w:p w:rsidR="006C054C" w:rsidP="00634AFF">
      <w:pPr>
        <w:pStyle w:val="BodyText"/>
      </w:pPr>
    </w:p>
    <w:p w:rsidR="006C054C" w:rsidP="00634AFF">
      <w:pPr>
        <w:pStyle w:val="BodyText"/>
      </w:pPr>
    </w:p>
    <w:p w:rsidR="00000000" w:rsidRPr="00634AFF" w:rsidP="00634AFF">
      <w:pPr>
        <w:pStyle w:val="Heading1"/>
      </w:pPr>
      <w:bookmarkStart w:id="8" w:name="O_944266"/>
      <w:bookmarkEnd w:id="8"/>
      <w:r w:rsidRPr="00634AFF">
        <w:t>Unit Mapping Information</w:t>
      </w:r>
    </w:p>
    <w:p w:rsidR="006C054C" w:rsidP="006C054C">
      <w:pPr>
        <w:pStyle w:val="BodyText"/>
      </w:pPr>
      <w:r w:rsidRPr="00634AFF">
        <w:t>Release 1. Supersedes and is equivalent to MEM23129A Evaluate thermal loads for heating, ventilation, air conditioning and refrigeration.</w:t>
      </w:r>
    </w:p>
    <w:p w:rsidR="00000000" w:rsidRPr="00634AFF" w:rsidP="00634AFF">
      <w:pPr>
        <w:pStyle w:val="Heading1"/>
      </w:pPr>
      <w:bookmarkStart w:id="9" w:name="O_944259"/>
      <w:bookmarkEnd w:id="9"/>
      <w:r w:rsidRPr="00634AFF">
        <w:t>Links</w:t>
      </w:r>
    </w:p>
    <w:p w:rsidR="00000000" w:rsidRPr="00634AFF" w:rsidP="006C054C">
      <w:pPr>
        <w:pStyle w:val="BodyText"/>
      </w:pPr>
      <w:r w:rsidRPr="00634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F790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34AFF" w:rsidP="00634AFF"/>
    <w:sectPr w:rsidSect="00634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F" w:rsidRPr="006C054C" w:rsidP="006C0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4C" w:rsidP="00634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54C" w:rsidP="00634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054C" w:rsidP="00634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AFF" w:rsidRPr="006C054C" w:rsidP="006C0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4C" w:rsidRPr="002D2AF8" w:rsidP="00634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MEM23129 Evaluate thermal loads for heating, ventilation, air conditioning and refrigeration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C054C" w:rsidP="00634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47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AA7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AFF"/>
  </w:style>
  <w:style w:type="character" w:customStyle="1" w:styleId="Heading1Char">
    <w:name w:val="Heading 1 Char"/>
    <w:basedOn w:val="DefaultParagraphFont"/>
    <w:link w:val="Heading1"/>
    <w:rsid w:val="00634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A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AFF"/>
    <w:rPr>
      <w:b/>
      <w:spacing w:val="0"/>
    </w:rPr>
  </w:style>
  <w:style w:type="character" w:styleId="Emphasis">
    <w:name w:val="Emphasis"/>
    <w:basedOn w:val="DefaultParagraphFont"/>
    <w:qFormat/>
    <w:rsid w:val="00634AFF"/>
    <w:rPr>
      <w:i/>
    </w:rPr>
  </w:style>
  <w:style w:type="paragraph" w:customStyle="1" w:styleId="SuperHeading">
    <w:name w:val="SuperHeading"/>
    <w:basedOn w:val="Normal"/>
    <w:rsid w:val="00634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A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A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AFF"/>
  </w:style>
  <w:style w:type="paragraph" w:styleId="TableofFigures">
    <w:name w:val="table of figures"/>
    <w:basedOn w:val="Normal"/>
    <w:next w:val="Normal"/>
    <w:semiHidden/>
    <w:rsid w:val="00634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A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AFF"/>
    <w:rPr>
      <w:rFonts w:ascii="Wingdings" w:hAnsi="Wingdings"/>
    </w:rPr>
  </w:style>
  <w:style w:type="paragraph" w:customStyle="1" w:styleId="TableHeading">
    <w:name w:val="Table Heading"/>
    <w:basedOn w:val="HeadingBase"/>
    <w:rsid w:val="00634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AFF"/>
    <w:rPr>
      <w:color w:val="0033CC"/>
      <w:u w:val="none"/>
    </w:rPr>
  </w:style>
  <w:style w:type="paragraph" w:customStyle="1" w:styleId="BodyTextRight">
    <w:name w:val="Body Text Right"/>
    <w:basedOn w:val="BodyText"/>
    <w:rsid w:val="00634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A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AFF"/>
    <w:rPr>
      <w:sz w:val="32"/>
    </w:rPr>
  </w:style>
  <w:style w:type="paragraph" w:customStyle="1" w:styleId="HeadingProcedure">
    <w:name w:val="Heading Procedure"/>
    <w:basedOn w:val="HeadingBase"/>
    <w:next w:val="Normal"/>
    <w:rsid w:val="00634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AFF"/>
    <w:pPr>
      <w:spacing w:before="60" w:after="60"/>
    </w:pPr>
  </w:style>
  <w:style w:type="paragraph" w:styleId="ListContinue">
    <w:name w:val="List Continue"/>
    <w:basedOn w:val="List"/>
    <w:rsid w:val="00634AFF"/>
    <w:pPr>
      <w:ind w:firstLine="0"/>
    </w:pPr>
  </w:style>
  <w:style w:type="paragraph" w:customStyle="1" w:styleId="ListNote">
    <w:name w:val="List Note"/>
    <w:basedOn w:val="List"/>
    <w:rsid w:val="00634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AFF"/>
    <w:rPr>
      <w:rFonts w:ascii="Courier New" w:hAnsi="Courier New"/>
    </w:rPr>
  </w:style>
  <w:style w:type="paragraph" w:customStyle="1" w:styleId="NoteBullet">
    <w:name w:val="Note Bullet"/>
    <w:basedOn w:val="Note"/>
    <w:rsid w:val="00634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A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AFF"/>
    <w:rPr>
      <w:b/>
      <w:smallCaps/>
    </w:rPr>
  </w:style>
  <w:style w:type="paragraph" w:customStyle="1" w:styleId="TableListNumber">
    <w:name w:val="Table List Number"/>
    <w:basedOn w:val="ListNumber"/>
    <w:rsid w:val="00634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AFF"/>
    <w:pPr>
      <w:numPr>
        <w:numId w:val="8"/>
      </w:numPr>
    </w:pPr>
  </w:style>
  <w:style w:type="paragraph" w:customStyle="1" w:styleId="ListAlpha2">
    <w:name w:val="List Alpha 2"/>
    <w:basedOn w:val="List2"/>
    <w:rsid w:val="00634AFF"/>
    <w:pPr>
      <w:numPr>
        <w:numId w:val="7"/>
      </w:numPr>
    </w:pPr>
  </w:style>
  <w:style w:type="paragraph" w:styleId="List2">
    <w:name w:val="List 2"/>
    <w:basedOn w:val="BodyText"/>
    <w:rsid w:val="00634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A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A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AFF"/>
    <w:pPr>
      <w:numPr>
        <w:numId w:val="3"/>
      </w:numPr>
    </w:pPr>
  </w:style>
  <w:style w:type="paragraph" w:styleId="ListContinue2">
    <w:name w:val="List Continue 2"/>
    <w:basedOn w:val="List2"/>
    <w:rsid w:val="00634AFF"/>
    <w:pPr>
      <w:ind w:firstLine="0"/>
    </w:pPr>
  </w:style>
  <w:style w:type="paragraph" w:styleId="ListContinue3">
    <w:name w:val="List Continue 3"/>
    <w:basedOn w:val="List3"/>
    <w:rsid w:val="00634AFF"/>
    <w:pPr>
      <w:ind w:left="1021" w:firstLine="0"/>
    </w:pPr>
  </w:style>
  <w:style w:type="paragraph" w:styleId="ListContinue4">
    <w:name w:val="List Continue 4"/>
    <w:basedOn w:val="List4"/>
    <w:rsid w:val="00634AFF"/>
    <w:pPr>
      <w:ind w:firstLine="0"/>
    </w:pPr>
  </w:style>
  <w:style w:type="paragraph" w:styleId="ListContinue5">
    <w:name w:val="List Continue 5"/>
    <w:basedOn w:val="List5"/>
    <w:rsid w:val="00634AFF"/>
    <w:pPr>
      <w:ind w:firstLine="0"/>
    </w:pPr>
  </w:style>
  <w:style w:type="paragraph" w:styleId="ListNumber3">
    <w:name w:val="List Number 3"/>
    <w:basedOn w:val="List3"/>
    <w:rsid w:val="00634AFF"/>
    <w:pPr>
      <w:numPr>
        <w:numId w:val="4"/>
      </w:numPr>
    </w:pPr>
  </w:style>
  <w:style w:type="paragraph" w:styleId="ListNumber4">
    <w:name w:val="List Number 4"/>
    <w:basedOn w:val="List4"/>
    <w:rsid w:val="00634AFF"/>
    <w:pPr>
      <w:numPr>
        <w:numId w:val="5"/>
      </w:numPr>
    </w:pPr>
  </w:style>
  <w:style w:type="paragraph" w:styleId="ListNumber5">
    <w:name w:val="List Number 5"/>
    <w:basedOn w:val="List5"/>
    <w:rsid w:val="00634AFF"/>
    <w:pPr>
      <w:numPr>
        <w:numId w:val="6"/>
      </w:numPr>
    </w:pPr>
  </w:style>
  <w:style w:type="paragraph" w:styleId="BlockText">
    <w:name w:val="Block Text"/>
    <w:basedOn w:val="Normal"/>
    <w:rsid w:val="00634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AFF"/>
    <w:rPr>
      <w:sz w:val="16"/>
      <w:vertAlign w:val="superscript"/>
    </w:rPr>
  </w:style>
  <w:style w:type="character" w:customStyle="1" w:styleId="Symbols">
    <w:name w:val="Symbols"/>
    <w:basedOn w:val="DefaultParagraphFont"/>
    <w:rsid w:val="00634AFF"/>
    <w:rPr>
      <w:rFonts w:ascii="Symbol" w:hAnsi="Symbol"/>
    </w:rPr>
  </w:style>
  <w:style w:type="character" w:customStyle="1" w:styleId="MenuOptions">
    <w:name w:val="Menu Options"/>
    <w:basedOn w:val="DefaultParagraphFont"/>
    <w:rsid w:val="00634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AFF"/>
    <w:rPr>
      <w:b/>
    </w:rPr>
  </w:style>
  <w:style w:type="character" w:customStyle="1" w:styleId="Underlined">
    <w:name w:val="Underlined"/>
    <w:basedOn w:val="DefaultParagraphFont"/>
    <w:rsid w:val="00634AFF"/>
    <w:rPr>
      <w:u w:val="single"/>
    </w:rPr>
  </w:style>
  <w:style w:type="paragraph" w:customStyle="1" w:styleId="TableBodyTextRight">
    <w:name w:val="Table Body Text Right"/>
    <w:basedOn w:val="TableBodyText"/>
    <w:rsid w:val="00634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AFF"/>
    <w:rPr>
      <w:sz w:val="18"/>
    </w:rPr>
  </w:style>
  <w:style w:type="paragraph" w:customStyle="1" w:styleId="BodySmallRight">
    <w:name w:val="Body Small Right"/>
    <w:basedOn w:val="BodyTextRight"/>
    <w:rsid w:val="00634AFF"/>
    <w:rPr>
      <w:sz w:val="18"/>
      <w:szCs w:val="18"/>
    </w:rPr>
  </w:style>
  <w:style w:type="paragraph" w:customStyle="1" w:styleId="MarginEdition">
    <w:name w:val="Margin Edition"/>
    <w:basedOn w:val="MarginNote"/>
    <w:rsid w:val="00634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AFF"/>
    <w:rPr>
      <w:sz w:val="2"/>
      <w:szCs w:val="2"/>
    </w:rPr>
  </w:style>
  <w:style w:type="character" w:customStyle="1" w:styleId="Small">
    <w:name w:val="Small"/>
    <w:basedOn w:val="DefaultParagraphFont"/>
    <w:rsid w:val="00634AFF"/>
    <w:rPr>
      <w:sz w:val="16"/>
    </w:rPr>
  </w:style>
  <w:style w:type="paragraph" w:customStyle="1" w:styleId="WideTable">
    <w:name w:val="Wide Table"/>
    <w:basedOn w:val="Normal"/>
    <w:rsid w:val="00634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AFF"/>
  </w:style>
  <w:style w:type="paragraph" w:styleId="Quote">
    <w:name w:val="Quote"/>
    <w:basedOn w:val="Heading1"/>
    <w:link w:val="QuoteChar"/>
    <w:qFormat/>
    <w:rsid w:val="00634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AFF"/>
    <w:pPr>
      <w:pageBreakBefore/>
    </w:pPr>
  </w:style>
  <w:style w:type="paragraph" w:customStyle="1" w:styleId="Border">
    <w:name w:val="Border"/>
    <w:basedOn w:val="Normal"/>
    <w:qFormat/>
    <w:rsid w:val="00634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AFF"/>
    <w:rPr>
      <w:u w:val="single"/>
    </w:rPr>
  </w:style>
  <w:style w:type="character" w:customStyle="1" w:styleId="BoldandItalics">
    <w:name w:val="Bold and Italics"/>
    <w:qFormat/>
    <w:rsid w:val="00634AFF"/>
    <w:rPr>
      <w:b/>
      <w:i/>
      <w:u w:val="none"/>
    </w:rPr>
  </w:style>
  <w:style w:type="paragraph" w:styleId="BalloonText">
    <w:name w:val="Balloon Text"/>
    <w:basedOn w:val="Normal"/>
    <w:link w:val="BalloonTextChar"/>
    <w:rsid w:val="00634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AFF"/>
    <w:pPr>
      <w:spacing w:before="0" w:after="0"/>
    </w:pPr>
  </w:style>
  <w:style w:type="paragraph" w:customStyle="1" w:styleId="BodyTextBold">
    <w:name w:val="Body Text Bold"/>
    <w:basedOn w:val="BodyText"/>
    <w:qFormat/>
    <w:rsid w:val="00634AFF"/>
    <w:rPr>
      <w:b/>
    </w:rPr>
  </w:style>
  <w:style w:type="character" w:styleId="Hyperlink">
    <w:name w:val="Hyperlink"/>
    <w:basedOn w:val="DefaultParagraphFont"/>
    <w:uiPriority w:val="99"/>
    <w:unhideWhenUsed/>
    <w:rsid w:val="006C0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5797</Characters>
  <Application>Microsoft Office Word</Application>
  <DocSecurity>0</DocSecurity>
  <Lines>175</Lines>
  <Paragraphs>109</Paragraphs>
  <ScaleCrop>false</ScaleCrop>
  <Company>Author-it Software Corporation Ltd.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MEM23129 Evaluate thermal loads for heating, ventilation, air conditioning and refrigeration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