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143" w:rsidP="00AA4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MEM23129 Evaluate thermal loads for heating, ventilation, air conditioning and refrigeration</w:t>
      </w:r>
      <w:r>
        <w:fldChar w:fldCharType="end"/>
      </w:r>
    </w:p>
    <w:p w:rsidR="00AA4143" w:rsidP="00AA4143">
      <w:pPr>
        <w:pStyle w:val="Version"/>
        <w:sectPr w:rsidSect="007E1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AA1" w:rsidP="007E1AA1">
      <w:pPr>
        <w:pStyle w:val="SuperHeading"/>
      </w:pPr>
      <w:r w:rsidRPr="007E1AA1">
        <w:t>MEM23129 Evaluate thermal loads for heating, ventilation, air conditioning and refrigeration</w:t>
      </w:r>
    </w:p>
    <w:p w:rsidR="00000000" w:rsidRPr="007E1AA1" w:rsidP="007E1AA1">
      <w:pPr>
        <w:pStyle w:val="Heading1"/>
      </w:pPr>
      <w:bookmarkStart w:id="1" w:name="O_944265"/>
      <w:bookmarkEnd w:id="1"/>
      <w:r w:rsidRPr="007E1AA1">
        <w:t>Modification History</w:t>
      </w:r>
    </w:p>
    <w:p w:rsidR="00AA4143" w:rsidP="00AA4143">
      <w:pPr>
        <w:pStyle w:val="BodyText"/>
      </w:pPr>
      <w:r w:rsidRPr="007E1AA1">
        <w:t>Release 1. Supersedes and is equivalent to MEM23129A Evaluate thermal loads for heating, ventilation, air conditioning and refrigeration.</w:t>
      </w:r>
    </w:p>
    <w:p w:rsidR="00000000" w:rsidRPr="007E1AA1" w:rsidP="007E1AA1">
      <w:pPr>
        <w:pStyle w:val="Heading1"/>
      </w:pPr>
      <w:bookmarkStart w:id="2" w:name="O_944273"/>
      <w:bookmarkEnd w:id="2"/>
      <w:r w:rsidRPr="007E1AA1">
        <w:t>Application</w:t>
      </w:r>
    </w:p>
    <w:p w:rsidR="00000000" w:rsidRPr="007E1AA1" w:rsidP="00AA4143">
      <w:pPr>
        <w:pStyle w:val="BodyText"/>
      </w:pPr>
      <w:r w:rsidRPr="007E1AA1">
        <w:t>This unit of competency defines the skills and knowledge required to evaluate thermal lo</w:t>
      </w:r>
      <w:r w:rsidRPr="007E1AA1">
        <w:t xml:space="preserve">ad estimates for heating, ventilation, air conditioning and refrigeration (HVACR) systems in multiple zone commercial/industrial buildings and engineering facilities, commercial refrigeration systems and related installations. It includes consideration of </w:t>
      </w:r>
      <w:r w:rsidRPr="007E1AA1">
        <w:t>work health and safety (WHS) and related safety compliance requirements, and system evaluation, including the use of software and validation, thermodynamic concepts and laws.</w:t>
      </w:r>
    </w:p>
    <w:p w:rsidR="00000000" w:rsidRPr="007E1AA1" w:rsidP="00AA4143">
      <w:pPr>
        <w:pStyle w:val="BodyText"/>
      </w:pPr>
      <w:r w:rsidRPr="007E1AA1">
        <w:t>It is suitable for people working as technicians, system designers, draftspersons</w:t>
      </w:r>
      <w:r w:rsidRPr="007E1AA1">
        <w:t>, maintainers, and those pursuing careers and qualifications in engineering or related disciplines.</w:t>
      </w:r>
    </w:p>
    <w:p w:rsidR="00AA4143" w:rsidP="00AA4143">
      <w:pPr>
        <w:pStyle w:val="BodyText"/>
      </w:pPr>
      <w:r w:rsidRPr="007E1AA1">
        <w:t>No licensing, legislative or certification requirements apply to this unit at the time of publication.</w:t>
      </w:r>
    </w:p>
    <w:p w:rsidR="00000000" w:rsidRPr="007E1AA1" w:rsidP="007E1AA1">
      <w:pPr>
        <w:pStyle w:val="Heading1"/>
      </w:pPr>
      <w:bookmarkStart w:id="3" w:name="O_944272"/>
      <w:bookmarkEnd w:id="3"/>
      <w:r w:rsidRPr="007E1AA1">
        <w:t>Pre-requisite Unit</w:t>
      </w:r>
    </w:p>
    <w:p w:rsidR="00000000" w:rsidRPr="007E1AA1" w:rsidP="00AA4143">
      <w:pPr>
        <w:pStyle w:val="BodyText"/>
      </w:pPr>
      <w:r w:rsidRPr="007E1AA1">
        <w:t>MEM23004 Apply t</w:t>
      </w:r>
      <w:r w:rsidRPr="007E1AA1">
        <w:t>echnical mathematics</w:t>
      </w:r>
    </w:p>
    <w:p w:rsidR="00AA4143" w:rsidP="00AA4143">
      <w:pPr>
        <w:pStyle w:val="BodyText"/>
      </w:pPr>
      <w:r w:rsidRPr="007E1AA1">
        <w:t>MEM23006 Apply fluid and thermodynamics principles in engineering</w:t>
      </w:r>
    </w:p>
    <w:p w:rsidR="00000000" w:rsidRPr="007E1AA1" w:rsidP="007E1AA1">
      <w:pPr>
        <w:pStyle w:val="Heading1"/>
      </w:pPr>
      <w:bookmarkStart w:id="4" w:name="O_944271"/>
      <w:bookmarkEnd w:id="4"/>
      <w:r w:rsidRPr="007E1AA1">
        <w:t>Competency Field</w:t>
      </w:r>
    </w:p>
    <w:p w:rsidR="00AA4143" w:rsidP="00AA4143">
      <w:pPr>
        <w:pStyle w:val="BodyText"/>
      </w:pPr>
      <w:r w:rsidRPr="007E1AA1">
        <w:t>Engineering science</w:t>
      </w:r>
    </w:p>
    <w:p w:rsidR="00000000" w:rsidRPr="007E1AA1" w:rsidP="007E1AA1">
      <w:pPr>
        <w:pStyle w:val="Heading1"/>
      </w:pPr>
      <w:bookmarkStart w:id="5" w:name="O_944269"/>
      <w:bookmarkEnd w:id="5"/>
      <w:r w:rsidRPr="007E1AA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A41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BodyText"/>
            </w:pPr>
            <w:r w:rsidRPr="007E1AA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rPr>
                <w:rStyle w:val="SpecialBold"/>
              </w:rPr>
              <w:t>Performance Criteria</w:t>
            </w:r>
          </w:p>
        </w:tc>
      </w:tr>
      <w:tr w:rsidTr="00AA41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BodyText"/>
            </w:pPr>
            <w:r w:rsidRPr="007E1AA1">
              <w:rPr>
                <w:rStyle w:val="Emphasis"/>
              </w:rPr>
              <w:t xml:space="preserve">Elements describe the </w:t>
            </w:r>
            <w:r w:rsidRPr="007E1AA1">
              <w:t xml:space="preserve">essential </w:t>
            </w:r>
            <w:r w:rsidRPr="007E1AA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41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 xml:space="preserve">1. Determine scope of evaluation of thermal </w:t>
            </w:r>
            <w:r w:rsidRPr="007E1AA1">
              <w:t>loads and HVACR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BodyText"/>
            </w:pPr>
            <w:r w:rsidRPr="007E1AA1">
              <w:t>1.1 Establish type, location and scope of HVACR systems, building and r</w:t>
            </w:r>
            <w:r w:rsidRPr="007E1AA1">
              <w:t xml:space="preserve">efrigerated enclosures from plans, data sheets, specifications and site </w:t>
            </w:r>
            <w:r w:rsidRPr="007E1AA1">
              <w:t>inspections</w:t>
            </w:r>
          </w:p>
          <w:p w:rsidR="00000000" w:rsidRPr="007E1AA1" w:rsidP="007E1AA1">
            <w:pPr>
              <w:pStyle w:val="BodyText"/>
            </w:pPr>
            <w:r w:rsidRPr="007E1AA1">
              <w:t>1.2 Identify stakeholders to be consulted during evaluation</w:t>
            </w:r>
          </w:p>
          <w:p w:rsidR="00000000" w:rsidRPr="007E1AA1" w:rsidP="007E1AA1">
            <w:pPr>
              <w:pStyle w:val="BodyText"/>
            </w:pPr>
            <w:r w:rsidRPr="007E1AA1">
              <w:t>1.3 Establish software and software techniques required for evaluation analysis</w:t>
            </w:r>
          </w:p>
          <w:p w:rsidR="00000000" w:rsidRPr="007E1AA1" w:rsidP="007E1AA1">
            <w:pPr>
              <w:pStyle w:val="BodyText"/>
            </w:pPr>
            <w:r w:rsidRPr="007E1AA1">
              <w:t>1.4 Determine WHS, regulatory an</w:t>
            </w:r>
            <w:r w:rsidRPr="007E1AA1">
              <w:t>d environmental requirements relevant to evaluation</w:t>
            </w:r>
          </w:p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1.5 Investigate sustainability implications of HVACR and building management systems</w:t>
            </w:r>
          </w:p>
        </w:tc>
      </w:tr>
      <w:tr w:rsidTr="00AA41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2. Prepare for thermal loads and HVACR systems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BodyText"/>
            </w:pPr>
            <w:r w:rsidRPr="007E1AA1">
              <w:t>2.1 Review thermal load analysis techniques for multiple zone commercial or industrial buildings, including use of tabulations and computer software</w:t>
            </w:r>
          </w:p>
          <w:p w:rsidR="00000000" w:rsidRPr="007E1AA1" w:rsidP="007E1AA1">
            <w:pPr>
              <w:pStyle w:val="BodyText"/>
            </w:pPr>
            <w:r w:rsidRPr="007E1AA1">
              <w:t>2.2 Identify sources of heat gains for building</w:t>
            </w:r>
          </w:p>
          <w:p w:rsidR="00000000" w:rsidRPr="007E1AA1" w:rsidP="007E1AA1">
            <w:pPr>
              <w:pStyle w:val="BodyText"/>
            </w:pPr>
            <w:r w:rsidRPr="007E1AA1">
              <w:t>2.3 Review room sensible and latent heat, including peak va</w:t>
            </w:r>
            <w:r w:rsidRPr="007E1AA1">
              <w:t>lues</w:t>
            </w:r>
          </w:p>
          <w:p w:rsidR="00000000" w:rsidRPr="007E1AA1" w:rsidP="007E1AA1">
            <w:pPr>
              <w:pStyle w:val="BodyText"/>
            </w:pPr>
            <w:r w:rsidRPr="007E1AA1">
              <w:t>2.4 Review thermal load analysis techniques for commercial refrigeration systems, including use of tabulations and computer software</w:t>
            </w:r>
          </w:p>
          <w:p w:rsidR="00000000" w:rsidRPr="007E1AA1" w:rsidP="007E1AA1">
            <w:pPr>
              <w:pStyle w:val="BodyText"/>
            </w:pPr>
            <w:r w:rsidRPr="007E1AA1">
              <w:t>2.5 Identify heat load sources for refrigerated enclosures or zones</w:t>
            </w:r>
          </w:p>
          <w:p w:rsidR="00000000" w:rsidRPr="007E1AA1" w:rsidP="007E1AA1">
            <w:pPr>
              <w:pStyle w:val="BodyText"/>
            </w:pPr>
            <w:r w:rsidRPr="007E1AA1">
              <w:t>2.6 Determine tools, equipment, testing devices an</w:t>
            </w:r>
            <w:r w:rsidRPr="007E1AA1">
              <w:t>d materials required for evaluation</w:t>
            </w:r>
          </w:p>
          <w:p w:rsidR="00000000" w:rsidRPr="007E1AA1" w:rsidP="007E1AA1">
            <w:pPr>
              <w:pStyle w:val="BodyText"/>
            </w:pPr>
            <w:r w:rsidRPr="007E1AA1">
              <w:t>2.7 Determine required measurements and measurement techniques</w:t>
            </w:r>
          </w:p>
          <w:p w:rsidR="00000000" w:rsidRPr="007E1AA1" w:rsidP="007E1AA1">
            <w:pPr>
              <w:pStyle w:val="BodyText"/>
            </w:pPr>
            <w:r w:rsidRPr="007E1AA1">
              <w:t>2.8 Calibrate, set up, and test measurement equipment and procedures</w:t>
            </w:r>
          </w:p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2.9 Identify appropriate analysis techniques, analysis and simulation software and softw</w:t>
            </w:r>
            <w:r w:rsidRPr="007E1AA1">
              <w:t>are validation techniques</w:t>
            </w:r>
          </w:p>
        </w:tc>
      </w:tr>
      <w:tr w:rsidTr="00AA41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3. Evaluate thermal loads and HVACR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BodyText"/>
            </w:pPr>
            <w:r w:rsidRPr="007E1AA1">
              <w:t xml:space="preserve">3.1 Evaluate thermal load for a commercial refrigeration system </w:t>
            </w:r>
          </w:p>
          <w:p w:rsidR="00000000" w:rsidRPr="007E1AA1" w:rsidP="007E1AA1">
            <w:pPr>
              <w:pStyle w:val="BodyText"/>
            </w:pPr>
            <w:r w:rsidRPr="007E1AA1">
              <w:t>3.2 Evaluate thermal load for a multiple zone commercial or industrial building</w:t>
            </w:r>
          </w:p>
          <w:p w:rsidR="00000000" w:rsidRPr="007E1AA1" w:rsidP="007E1AA1">
            <w:pPr>
              <w:pStyle w:val="BodyText"/>
            </w:pPr>
            <w:r w:rsidRPr="007E1AA1">
              <w:t>3.3 Evaluate the effects of internal and</w:t>
            </w:r>
            <w:r w:rsidRPr="007E1AA1">
              <w:t xml:space="preserve"> external parameter changes on refrigeration system performance</w:t>
            </w:r>
          </w:p>
          <w:p w:rsidR="00000000" w:rsidRPr="007E1AA1" w:rsidP="007E1AA1">
            <w:pPr>
              <w:pStyle w:val="BodyText"/>
            </w:pPr>
            <w:r w:rsidRPr="007E1AA1">
              <w:t>3.4 Evaluate thermal performance of a building and options for design improvements</w:t>
            </w:r>
          </w:p>
          <w:p w:rsidR="00000000" w:rsidRPr="007E1AA1" w:rsidP="007E1AA1">
            <w:pPr>
              <w:pStyle w:val="BodyText"/>
            </w:pPr>
            <w:r w:rsidRPr="007E1AA1">
              <w:t>3.5 Evaluate building to identify and mitigate high thermal loads</w:t>
            </w:r>
          </w:p>
          <w:p w:rsidR="00000000" w:rsidRPr="007E1AA1" w:rsidP="007E1AA1">
            <w:pPr>
              <w:pStyle w:val="BodyText"/>
            </w:pPr>
            <w:r w:rsidRPr="007E1AA1">
              <w:t>3.6 Evaluate performance of refrigeration a</w:t>
            </w:r>
            <w:r w:rsidRPr="007E1AA1">
              <w:t>nd air conditioning system against specifications and determine optimum operational settings</w:t>
            </w:r>
          </w:p>
          <w:p w:rsidR="00000000" w:rsidRPr="007E1AA1" w:rsidP="007E1AA1">
            <w:pPr>
              <w:pStyle w:val="BodyText"/>
            </w:pPr>
            <w:r w:rsidRPr="007E1AA1">
              <w:t xml:space="preserve">3.7 Evaluate equipment size, including coil and air handling unit </w:t>
            </w:r>
            <w:r w:rsidRPr="007E1AA1">
              <w:t>capacities for constant and variable volume systems, and central refrigeration and boiler capacit</w:t>
            </w:r>
            <w:r w:rsidRPr="007E1AA1">
              <w:t>ies</w:t>
            </w:r>
          </w:p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3.8 Evaluate and validate software for refrigeration and building thermal performance analysis and system simulation</w:t>
            </w:r>
          </w:p>
        </w:tc>
      </w:tr>
      <w:tr w:rsidTr="00AA41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BodyText"/>
            </w:pPr>
            <w:r w:rsidRPr="007E1AA1">
              <w:t>4.1 Record results of evaluation, including recommendations for design and system setting optimisation</w:t>
            </w:r>
          </w:p>
          <w:p w:rsidR="00000000" w:rsidRPr="007E1AA1" w:rsidP="007E1AA1">
            <w:pPr>
              <w:pStyle w:val="BodyText"/>
            </w:pPr>
            <w:r w:rsidRPr="007E1AA1">
              <w:t xml:space="preserve">4.2 Provide documentation that includes written and visual details of processes and results </w:t>
            </w:r>
          </w:p>
        </w:tc>
      </w:tr>
    </w:tbl>
    <w:p w:rsidR="00AA4143" w:rsidP="007E1AA1">
      <w:pPr>
        <w:pStyle w:val="BodyText"/>
      </w:pPr>
    </w:p>
    <w:p w:rsidR="00AA4143" w:rsidP="007E1AA1">
      <w:pPr>
        <w:pStyle w:val="BodyText"/>
      </w:pPr>
    </w:p>
    <w:p w:rsidR="00000000" w:rsidRPr="007E1AA1" w:rsidP="007E1AA1">
      <w:pPr>
        <w:pStyle w:val="Heading1"/>
      </w:pPr>
      <w:bookmarkStart w:id="6" w:name="O_944268"/>
      <w:bookmarkEnd w:id="6"/>
      <w:r w:rsidRPr="007E1AA1">
        <w:t>Foundation Skills</w:t>
      </w:r>
    </w:p>
    <w:p w:rsidR="00000000" w:rsidRPr="007E1AA1" w:rsidP="00AA4143">
      <w:pPr>
        <w:pStyle w:val="BodyText"/>
      </w:pPr>
      <w:r w:rsidRPr="007E1AA1">
        <w:t>This section describes those language, literacy, numeracy and employment skills that are essential to performance.</w:t>
      </w:r>
    </w:p>
    <w:p w:rsidR="00AA4143" w:rsidP="00AA4143">
      <w:pPr>
        <w:pStyle w:val="BodyText"/>
      </w:pPr>
      <w:r w:rsidRPr="007E1AA1">
        <w:t>Foundation</w:t>
      </w:r>
      <w:r w:rsidRPr="007E1AA1">
        <w:t xml:space="preserve"> skills essential to performance are explicit in the performance criteria of this unit of competency.</w:t>
      </w:r>
    </w:p>
    <w:p w:rsidR="00000000" w:rsidRPr="007E1AA1" w:rsidP="007E1AA1">
      <w:pPr>
        <w:pStyle w:val="Heading1"/>
      </w:pPr>
      <w:bookmarkStart w:id="7" w:name="O_944267"/>
      <w:bookmarkEnd w:id="7"/>
      <w:r w:rsidRPr="007E1AA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This field allows for different work environments and conditions that may affect performance. Essential operating co</w:t>
            </w:r>
            <w:r w:rsidRPr="007E1AA1">
              <w:t>nditions that may be present (depending on the work situation, needs of the candidate, accessibility of the item, and local industry and regional contexts) are included.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>meeting all regulatory requirements</w:t>
            </w:r>
          </w:p>
          <w:p w:rsidR="00000000" w:rsidRPr="007E1AA1" w:rsidP="007E1AA1">
            <w:pPr>
              <w:pStyle w:val="ListBullet"/>
            </w:pPr>
            <w:r w:rsidRPr="007E1AA1">
              <w:t>conforming to all industry covenants, protocols and best practice guides</w:t>
            </w:r>
          </w:p>
          <w:p w:rsidR="00000000" w:rsidRPr="007E1AA1" w:rsidP="007E1AA1">
            <w:pPr>
              <w:pStyle w:val="ListBullet"/>
            </w:pPr>
            <w:r w:rsidRPr="007E1AA1">
              <w:t>minimising ecological and environmental footprint of process, plant and product</w:t>
            </w:r>
          </w:p>
          <w:p w:rsidR="00000000" w:rsidRPr="007E1AA1" w:rsidP="007E1AA1">
            <w:pPr>
              <w:pStyle w:val="ListBullet"/>
            </w:pPr>
            <w:r w:rsidRPr="007E1AA1">
              <w:t>maximising economic benefit of process plant and product to the organisation and the community</w:t>
            </w:r>
          </w:p>
          <w:p w:rsidR="00000000" w:rsidP="007E1AA1">
            <w:pPr>
              <w:pStyle w:val="ListBullet"/>
              <w:rPr>
                <w:lang w:val="en-NZ"/>
              </w:rPr>
            </w:pPr>
            <w:r w:rsidRPr="007E1AA1">
              <w:t>minimisi</w:t>
            </w:r>
            <w:r w:rsidRPr="007E1AA1">
              <w:t>ng the negative WHS impact on employees, community and customer.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Appropriate technical and professional assistance includes.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 xml:space="preserve">technical support and advice relating to elements which have intrinsic dangers </w:t>
            </w:r>
          </w:p>
          <w:p w:rsidR="00000000" w:rsidP="007E1AA1">
            <w:pPr>
              <w:pStyle w:val="ListBullet"/>
              <w:rPr>
                <w:lang w:val="en-NZ"/>
              </w:rPr>
            </w:pPr>
            <w:r w:rsidRPr="007E1AA1">
              <w:t>professional support for technologies.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>WHS acts and regulations and relevant standards</w:t>
            </w:r>
          </w:p>
          <w:p w:rsidR="00000000" w:rsidRPr="007E1AA1" w:rsidP="007E1AA1">
            <w:pPr>
              <w:pStyle w:val="ListBullet"/>
            </w:pPr>
            <w:r w:rsidRPr="007E1AA1">
              <w:t>codes of practice from Australian and overseas engineering and technical associations and societies</w:t>
            </w:r>
          </w:p>
          <w:p w:rsidR="00000000" w:rsidRPr="007E1AA1" w:rsidP="007E1AA1">
            <w:pPr>
              <w:pStyle w:val="ListBullet"/>
            </w:pPr>
            <w:r w:rsidRPr="007E1AA1">
              <w:t>risk assessments</w:t>
            </w:r>
          </w:p>
          <w:p w:rsidR="00000000" w:rsidRPr="007E1AA1" w:rsidP="007E1AA1">
            <w:pPr>
              <w:pStyle w:val="ListBullet"/>
            </w:pPr>
            <w:r w:rsidRPr="007E1AA1">
              <w:t>registration requireme</w:t>
            </w:r>
            <w:r w:rsidRPr="007E1AA1">
              <w:t>nts</w:t>
            </w:r>
          </w:p>
          <w:p w:rsidR="00000000" w:rsidRPr="007E1AA1" w:rsidP="007E1AA1">
            <w:pPr>
              <w:pStyle w:val="ListBullet"/>
            </w:pPr>
            <w:r w:rsidRPr="007E1AA1">
              <w:t>safe work practices</w:t>
            </w:r>
          </w:p>
          <w:p w:rsidR="00000000" w:rsidP="007E1AA1">
            <w:pPr>
              <w:pStyle w:val="ListBullet"/>
              <w:rPr>
                <w:lang w:val="en-NZ"/>
              </w:rPr>
            </w:pPr>
            <w:r w:rsidRPr="007E1AA1">
              <w:t>state and territory regulatory requirements.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Building heat gains are affected by: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>external, internal and system heat gains</w:t>
            </w:r>
          </w:p>
          <w:p w:rsidR="00000000" w:rsidRPr="007E1AA1" w:rsidP="007E1AA1">
            <w:pPr>
              <w:pStyle w:val="ListBullet"/>
            </w:pPr>
            <w:r w:rsidRPr="007E1AA1">
              <w:t>U values and infiltration rates for various wall and roof constructions</w:t>
            </w:r>
          </w:p>
          <w:p w:rsidR="00000000" w:rsidP="007E1AA1">
            <w:pPr>
              <w:pStyle w:val="ListBullet"/>
              <w:rPr>
                <w:lang w:val="en-NZ"/>
              </w:rPr>
            </w:pPr>
            <w:r w:rsidRPr="007E1AA1">
              <w:t>sun, Azimuth and altitude angles, and overall shade factors for various windows.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Commercial refrigeration cabinets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>defrost and heating systems</w:t>
            </w:r>
          </w:p>
          <w:p w:rsidR="00000000" w:rsidRPr="007E1AA1" w:rsidP="007E1AA1">
            <w:pPr>
              <w:pStyle w:val="ListBullet"/>
            </w:pPr>
            <w:r w:rsidRPr="007E1AA1">
              <w:t>temperature control</w:t>
            </w:r>
          </w:p>
          <w:p w:rsidR="00000000" w:rsidRPr="007E1AA1" w:rsidP="007E1AA1">
            <w:pPr>
              <w:pStyle w:val="ListBullet"/>
            </w:pPr>
            <w:r w:rsidRPr="007E1AA1">
              <w:t>air flows (refrigeration)</w:t>
            </w:r>
          </w:p>
          <w:p w:rsidR="00000000" w:rsidRPr="007E1AA1" w:rsidP="007E1AA1">
            <w:pPr>
              <w:pStyle w:val="ListBullet"/>
            </w:pPr>
            <w:r w:rsidRPr="007E1AA1">
              <w:t>air screens (refrigerated and ambient store)</w:t>
            </w:r>
          </w:p>
          <w:p w:rsidR="00000000" w:rsidRPr="007E1AA1" w:rsidP="007E1AA1">
            <w:pPr>
              <w:pStyle w:val="ListBullet"/>
            </w:pPr>
            <w:r w:rsidRPr="007E1AA1">
              <w:t>types of ev</w:t>
            </w:r>
            <w:r w:rsidRPr="007E1AA1">
              <w:t>aporation</w:t>
            </w:r>
          </w:p>
          <w:p w:rsidR="00000000" w:rsidP="007E1AA1">
            <w:pPr>
              <w:pStyle w:val="ListBullet"/>
              <w:rPr>
                <w:lang w:val="en-NZ"/>
              </w:rPr>
            </w:pPr>
            <w:r w:rsidRPr="007E1AA1">
              <w:t>lighting.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Miscellaneous heat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>electrical load</w:t>
            </w:r>
          </w:p>
          <w:p w:rsidR="00000000" w:rsidRPr="007E1AA1" w:rsidP="007E1AA1">
            <w:pPr>
              <w:pStyle w:val="ListBullet"/>
            </w:pPr>
            <w:r w:rsidRPr="007E1AA1">
              <w:t>human load</w:t>
            </w:r>
          </w:p>
          <w:p w:rsidR="00000000" w:rsidRPr="007E1AA1" w:rsidP="007E1AA1">
            <w:pPr>
              <w:pStyle w:val="ListBullet"/>
            </w:pPr>
            <w:r w:rsidRPr="007E1AA1">
              <w:t>defrost load</w:t>
            </w:r>
          </w:p>
          <w:p w:rsidR="00000000" w:rsidP="007E1AA1">
            <w:pPr>
              <w:pStyle w:val="ListBullet"/>
              <w:rPr>
                <w:lang w:val="en-NZ"/>
              </w:rPr>
            </w:pPr>
            <w:r w:rsidRPr="007E1AA1">
              <w:t>machinery load.</w:t>
            </w:r>
          </w:p>
        </w:tc>
      </w:tr>
      <w:tr w:rsidTr="007E1AA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A1">
            <w:pPr>
              <w:pStyle w:val="BodyText"/>
              <w:rPr>
                <w:lang w:val="en-NZ"/>
              </w:rPr>
            </w:pPr>
            <w:r w:rsidRPr="007E1AA1">
              <w:t>Relevant documentation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A1" w:rsidP="007E1AA1">
            <w:pPr>
              <w:pStyle w:val="ListBullet"/>
            </w:pPr>
            <w:r w:rsidRPr="007E1AA1">
              <w:t>thermal load audits</w:t>
            </w:r>
          </w:p>
          <w:p w:rsidR="00000000" w:rsidRPr="007E1AA1" w:rsidP="007E1AA1">
            <w:pPr>
              <w:pStyle w:val="ListBullet"/>
            </w:pPr>
            <w:r w:rsidRPr="007E1AA1">
              <w:t>calculations for heating and cooling loads</w:t>
            </w:r>
          </w:p>
          <w:p w:rsidR="00000000" w:rsidRPr="007E1AA1" w:rsidP="007E1AA1">
            <w:pPr>
              <w:pStyle w:val="ListBullet"/>
            </w:pPr>
            <w:r w:rsidRPr="007E1AA1">
              <w:t>building and refrigeration layouts</w:t>
            </w:r>
          </w:p>
          <w:p w:rsidR="00000000" w:rsidRPr="007E1AA1" w:rsidP="007E1AA1">
            <w:pPr>
              <w:pStyle w:val="ListBullet"/>
            </w:pPr>
            <w:r w:rsidRPr="007E1AA1">
              <w:t>heating and cooling system and component arrangements</w:t>
            </w:r>
          </w:p>
          <w:p w:rsidR="00000000" w:rsidRPr="007E1AA1" w:rsidP="007E1AA1">
            <w:pPr>
              <w:pStyle w:val="ListBullet"/>
            </w:pPr>
            <w:r w:rsidRPr="007E1AA1">
              <w:t>system improvement diagrams.</w:t>
            </w:r>
          </w:p>
        </w:tc>
      </w:tr>
    </w:tbl>
    <w:p w:rsidR="00AA4143" w:rsidP="007E1AA1">
      <w:pPr>
        <w:pStyle w:val="BodyText"/>
      </w:pPr>
    </w:p>
    <w:p w:rsidR="00AA4143" w:rsidP="007E1AA1">
      <w:pPr>
        <w:pStyle w:val="BodyText"/>
      </w:pPr>
    </w:p>
    <w:p w:rsidR="00000000" w:rsidRPr="007E1AA1" w:rsidP="007E1AA1">
      <w:pPr>
        <w:pStyle w:val="Heading1"/>
      </w:pPr>
      <w:bookmarkStart w:id="8" w:name="O_944266"/>
      <w:bookmarkEnd w:id="8"/>
      <w:r w:rsidRPr="007E1AA1">
        <w:t>Unit Mapping Information</w:t>
      </w:r>
    </w:p>
    <w:p w:rsidR="00AA4143" w:rsidP="00AA4143">
      <w:pPr>
        <w:pStyle w:val="BodyText"/>
      </w:pPr>
      <w:r w:rsidRPr="007E1AA1">
        <w:t>Release 1. Supersedes and is equivalent to MEM23129A Evaluate thermal loads for heating, ventilation, air conditioning and refrigeration.</w:t>
      </w:r>
    </w:p>
    <w:p w:rsidR="00000000" w:rsidRPr="007E1AA1" w:rsidP="007E1AA1">
      <w:pPr>
        <w:pStyle w:val="Heading1"/>
      </w:pPr>
      <w:bookmarkStart w:id="9" w:name="O_944259"/>
      <w:bookmarkEnd w:id="9"/>
      <w:r w:rsidRPr="007E1AA1">
        <w:t>Links</w:t>
      </w:r>
    </w:p>
    <w:p w:rsidR="00000000" w:rsidRPr="007E1AA1" w:rsidP="00AA4143">
      <w:pPr>
        <w:pStyle w:val="BodyText"/>
      </w:pPr>
      <w:r w:rsidRPr="007E1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51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E1AA1" w:rsidP="00AA4143">
      <w:pPr>
        <w:pStyle w:val="BodyText"/>
        <w:sectPr w:rsidSect="007E1A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AA1" w:rsidP="007E1AA1">
      <w:pPr>
        <w:pStyle w:val="SuperHeading"/>
      </w:pPr>
      <w:r w:rsidRPr="007E1AA1">
        <w:t>Assessment Requirements for MEM23129 Evaluate thermal loads for heating, ventilation, air conditioning and refrigeration</w:t>
      </w:r>
    </w:p>
    <w:p w:rsidR="00000000" w:rsidRPr="007E1AA1" w:rsidP="007E1AA1">
      <w:pPr>
        <w:pStyle w:val="Heading1"/>
      </w:pPr>
      <w:bookmarkStart w:id="10" w:name="O_944261"/>
      <w:bookmarkEnd w:id="10"/>
      <w:r w:rsidRPr="007E1AA1">
        <w:t>Modification History</w:t>
      </w:r>
    </w:p>
    <w:p w:rsidR="00AA4143" w:rsidP="00AA4143">
      <w:pPr>
        <w:pStyle w:val="BodyText"/>
      </w:pPr>
      <w:r w:rsidRPr="007E1AA1">
        <w:t>Release 1. Supersedes and is equivalent to MEM23129A Evaluate thermal loads for heating, ventilation, air conditioning and refrigeration.</w:t>
      </w:r>
    </w:p>
    <w:p w:rsidR="00000000" w:rsidRPr="007E1AA1" w:rsidP="007E1AA1">
      <w:pPr>
        <w:pStyle w:val="Heading1"/>
      </w:pPr>
      <w:bookmarkStart w:id="11" w:name="O_944264"/>
      <w:bookmarkEnd w:id="11"/>
      <w:r w:rsidRPr="007E1AA1">
        <w:t>Performance Evidence</w:t>
      </w:r>
    </w:p>
    <w:p w:rsidR="00000000" w:rsidRPr="007E1AA1" w:rsidP="00AA4143">
      <w:pPr>
        <w:pStyle w:val="BodyText"/>
      </w:pPr>
      <w:r w:rsidRPr="007E1AA1">
        <w:t>Evidence required to demonstrate competence in this unit must be relevant to and satisfy the requirements of the elements and performance criteria and include:</w:t>
      </w:r>
    </w:p>
    <w:p w:rsidR="00000000" w:rsidRPr="007E1AA1" w:rsidP="007E1AA1">
      <w:pPr>
        <w:pStyle w:val="ListBullet"/>
      </w:pPr>
      <w:r w:rsidRPr="007E1AA1">
        <w:t xml:space="preserve">determining heating, ventilation, air conditioning and refrigeration (HVACR) system parameters </w:t>
      </w:r>
      <w:r w:rsidRPr="007E1AA1">
        <w:t>from plans, specifications and site inspections</w:t>
      </w:r>
    </w:p>
    <w:p w:rsidR="00000000" w:rsidRPr="007E1AA1" w:rsidP="007E1AA1">
      <w:pPr>
        <w:pStyle w:val="ListBullet"/>
      </w:pPr>
      <w:r w:rsidRPr="007E1AA1">
        <w:t>investigating sustainability implications of HVACR systems</w:t>
      </w:r>
    </w:p>
    <w:p w:rsidR="00000000" w:rsidRPr="007E1AA1" w:rsidP="007E1AA1">
      <w:pPr>
        <w:pStyle w:val="ListBullet"/>
      </w:pPr>
      <w:r w:rsidRPr="007E1AA1">
        <w:t>identifying relevant thermodynamic principles and techniques for HVACR system thermal load evaluations</w:t>
      </w:r>
    </w:p>
    <w:p w:rsidR="00000000" w:rsidRPr="007E1AA1" w:rsidP="007E1AA1">
      <w:pPr>
        <w:pStyle w:val="ListBullet"/>
      </w:pPr>
      <w:r w:rsidRPr="007E1AA1">
        <w:t>reviewing features and functions of HVACR syst</w:t>
      </w:r>
      <w:r w:rsidRPr="007E1AA1">
        <w:t>ems and components</w:t>
      </w:r>
    </w:p>
    <w:p w:rsidR="00000000" w:rsidRPr="007E1AA1" w:rsidP="007E1AA1">
      <w:pPr>
        <w:pStyle w:val="ListBullet"/>
      </w:pPr>
      <w:r w:rsidRPr="007E1AA1">
        <w:t>testing and measuring HVACR systems and component performance parameters on at least two occasions</w:t>
      </w:r>
    </w:p>
    <w:p w:rsidR="00000000" w:rsidRPr="007E1AA1" w:rsidP="007E1AA1">
      <w:pPr>
        <w:pStyle w:val="ListBullet"/>
      </w:pPr>
      <w:r w:rsidRPr="007E1AA1">
        <w:t>evaluating system and component performance with tabulated and software generated data on at least two occasions</w:t>
      </w:r>
    </w:p>
    <w:p w:rsidR="00000000" w:rsidRPr="007E1AA1" w:rsidP="007E1AA1">
      <w:pPr>
        <w:pStyle w:val="ListBullet"/>
      </w:pPr>
      <w:r w:rsidRPr="007E1AA1">
        <w:t>applying and validating software for analysis and simulation</w:t>
      </w:r>
    </w:p>
    <w:p w:rsidR="00000000" w:rsidRPr="007E1AA1" w:rsidP="007E1AA1">
      <w:pPr>
        <w:pStyle w:val="ListBullet"/>
      </w:pPr>
      <w:r w:rsidRPr="007E1AA1">
        <w:t>reporting and documenting processes, results and recommendations.</w:t>
      </w:r>
    </w:p>
    <w:p w:rsidR="00AA4143" w:rsidP="00AA4143">
      <w:pPr>
        <w:pStyle w:val="BodyText"/>
      </w:pPr>
      <w:r w:rsidRPr="007E1AA1">
        <w:t>Note: Where a volume and/or frequency is not specified, demonstration must be provided at least once.</w:t>
      </w:r>
    </w:p>
    <w:p w:rsidR="00000000" w:rsidRPr="007E1AA1" w:rsidP="007E1AA1">
      <w:pPr>
        <w:pStyle w:val="Heading1"/>
      </w:pPr>
      <w:bookmarkStart w:id="12" w:name="O_944263"/>
      <w:bookmarkEnd w:id="12"/>
      <w:r w:rsidRPr="007E1AA1">
        <w:t>Knowledge</w:t>
      </w:r>
      <w:r w:rsidRPr="007E1AA1">
        <w:t xml:space="preserve"> Evidence</w:t>
      </w:r>
    </w:p>
    <w:p w:rsidR="00000000" w:rsidRPr="007E1AA1" w:rsidP="00AA4143">
      <w:pPr>
        <w:pStyle w:val="BodyText"/>
      </w:pPr>
      <w:r w:rsidRPr="007E1AA1">
        <w:t>Evidence required to demonstrate the required knowledge for this unit must be relevant to and satisfy the requirements of the elements and performance criteria and include knowledge of:</w:t>
      </w:r>
    </w:p>
    <w:p w:rsidR="00000000" w:rsidRPr="007E1AA1" w:rsidP="007E1AA1">
      <w:pPr>
        <w:pStyle w:val="ListBullet"/>
      </w:pPr>
      <w:r w:rsidRPr="007E1AA1">
        <w:t>work health and safety (WHS) and regulatory requirements, c</w:t>
      </w:r>
      <w:r w:rsidRPr="007E1AA1">
        <w:t>odes of practice, standards, risk management and registration requirements</w:t>
      </w:r>
    </w:p>
    <w:p w:rsidR="00000000" w:rsidRPr="007E1AA1" w:rsidP="007E1AA1">
      <w:pPr>
        <w:pStyle w:val="ListBullet"/>
      </w:pPr>
      <w:r w:rsidRPr="007E1AA1">
        <w:t>sources of professional and technical assistance</w:t>
      </w:r>
    </w:p>
    <w:p w:rsidR="00000000" w:rsidRPr="007E1AA1" w:rsidP="007E1AA1">
      <w:pPr>
        <w:pStyle w:val="ListBullet"/>
      </w:pPr>
      <w:r w:rsidRPr="007E1AA1">
        <w:t>current options and trends in performance analysis software, including underpinning program techniques</w:t>
      </w:r>
    </w:p>
    <w:p w:rsidR="00000000" w:rsidRPr="007E1AA1" w:rsidP="007E1AA1">
      <w:pPr>
        <w:pStyle w:val="ListBullet"/>
      </w:pPr>
      <w:r w:rsidRPr="007E1AA1">
        <w:t>thermal load measuring equipm</w:t>
      </w:r>
      <w:r w:rsidRPr="007E1AA1">
        <w:t>ent and test apparatus</w:t>
      </w:r>
    </w:p>
    <w:p w:rsidR="00000000" w:rsidRPr="007E1AA1" w:rsidP="007E1AA1">
      <w:pPr>
        <w:pStyle w:val="ListBullet"/>
      </w:pPr>
      <w:r w:rsidRPr="007E1AA1">
        <w:t>sustainability implications of HVACR systems, including consideration of energy sources and energy efficiency</w:t>
      </w:r>
    </w:p>
    <w:p w:rsidR="00000000" w:rsidRPr="007E1AA1" w:rsidP="007E1AA1">
      <w:pPr>
        <w:pStyle w:val="ListBullet"/>
      </w:pPr>
      <w:r w:rsidRPr="007E1AA1">
        <w:t>thermodynamic principles required by thermal loading analysis and HVACR management systems</w:t>
      </w:r>
    </w:p>
    <w:p w:rsidR="00000000" w:rsidRPr="007E1AA1" w:rsidP="007E1AA1">
      <w:pPr>
        <w:pStyle w:val="ListBullet"/>
      </w:pPr>
      <w:r w:rsidRPr="007E1AA1">
        <w:t>thermodynamic concepts related t</w:t>
      </w:r>
      <w:r w:rsidRPr="007E1AA1">
        <w:t>o HVACR including:</w:t>
      </w:r>
    </w:p>
    <w:p w:rsidR="00000000" w:rsidRPr="007E1AA1" w:rsidP="007E1AA1">
      <w:pPr>
        <w:pStyle w:val="ListBullet2"/>
      </w:pPr>
      <w:r w:rsidRPr="007E1AA1">
        <w:t>properties, process and state</w:t>
      </w:r>
    </w:p>
    <w:p w:rsidR="00000000" w:rsidRPr="007E1AA1" w:rsidP="007E1AA1">
      <w:pPr>
        <w:pStyle w:val="ListBullet2"/>
      </w:pPr>
      <w:r w:rsidRPr="007E1AA1">
        <w:t>mass, conservation of mass, specific volume and density, specific volume, relative density, force, weight, pressure, temperature, Zeroth law, absolute scales and International System of Units (SI) units</w:t>
      </w:r>
    </w:p>
    <w:p w:rsidR="00000000" w:rsidRPr="007E1AA1" w:rsidP="007E1AA1">
      <w:pPr>
        <w:pStyle w:val="ListBullet2"/>
      </w:pPr>
      <w:r w:rsidRPr="007E1AA1">
        <w:t>systems, cycles and steady state</w:t>
      </w:r>
    </w:p>
    <w:p w:rsidR="00000000" w:rsidRPr="007E1AA1" w:rsidP="007E1AA1">
      <w:pPr>
        <w:pStyle w:val="ListBullet"/>
      </w:pPr>
      <w:r w:rsidRPr="007E1AA1">
        <w:t>energy forms</w:t>
      </w:r>
    </w:p>
    <w:p w:rsidR="00000000" w:rsidRPr="007E1AA1" w:rsidP="007E1AA1">
      <w:pPr>
        <w:pStyle w:val="ListBullet"/>
      </w:pPr>
      <w:r w:rsidRPr="007E1AA1">
        <w:t>effects of heating of solids and liquids</w:t>
      </w:r>
    </w:p>
    <w:p w:rsidR="00000000" w:rsidRPr="007E1AA1" w:rsidP="007E1AA1">
      <w:pPr>
        <w:pStyle w:val="ListBullet"/>
      </w:pPr>
      <w:r w:rsidRPr="007E1AA1">
        <w:t>heat transfer, conduction, convection and radiation including:</w:t>
      </w:r>
    </w:p>
    <w:p w:rsidR="00000000" w:rsidRPr="007E1AA1" w:rsidP="007E1AA1">
      <w:pPr>
        <w:pStyle w:val="ListBullet2"/>
      </w:pPr>
      <w:r w:rsidRPr="007E1AA1">
        <w:t>property tables for conductivity, convection and radiation coefficients</w:t>
      </w:r>
    </w:p>
    <w:p w:rsidR="00000000" w:rsidRPr="007E1AA1" w:rsidP="007E1AA1">
      <w:pPr>
        <w:pStyle w:val="ListBullet2"/>
      </w:pPr>
      <w:r w:rsidRPr="007E1AA1">
        <w:t>Fourier law of conduction and co</w:t>
      </w:r>
      <w:r w:rsidRPr="007E1AA1">
        <w:t>nductivity of materials</w:t>
      </w:r>
    </w:p>
    <w:p w:rsidR="00000000" w:rsidRPr="007E1AA1" w:rsidP="007E1AA1">
      <w:pPr>
        <w:pStyle w:val="ListBullet2"/>
      </w:pPr>
      <w:r w:rsidRPr="007E1AA1">
        <w:t>convection including:</w:t>
      </w:r>
    </w:p>
    <w:p w:rsidR="00000000" w:rsidRPr="007E1AA1" w:rsidP="007E1AA1">
      <w:pPr>
        <w:pStyle w:val="ListBullet3"/>
      </w:pPr>
      <w:r w:rsidRPr="007E1AA1">
        <w:t>mechanism of convection</w:t>
      </w:r>
    </w:p>
    <w:p w:rsidR="00000000" w:rsidRPr="007E1AA1" w:rsidP="007E1AA1">
      <w:pPr>
        <w:pStyle w:val="ListBullet3"/>
      </w:pPr>
      <w:r w:rsidRPr="007E1AA1">
        <w:t>convection heat transfer coefficient and factors affecting the coefficient</w:t>
      </w:r>
    </w:p>
    <w:p w:rsidR="00000000" w:rsidRPr="007E1AA1" w:rsidP="007E1AA1">
      <w:pPr>
        <w:pStyle w:val="ListBullet3"/>
      </w:pPr>
      <w:r w:rsidRPr="007E1AA1">
        <w:t>fluid flow characteristics including geometry of convection surfaces, natural and forced convection and flow regime</w:t>
      </w:r>
    </w:p>
    <w:p w:rsidR="00000000" w:rsidRPr="007E1AA1" w:rsidP="007E1AA1">
      <w:pPr>
        <w:pStyle w:val="ListBullet3"/>
      </w:pPr>
      <w:r w:rsidRPr="007E1AA1">
        <w:t>units, kinematic viscosity and dynamic viscosity</w:t>
      </w:r>
    </w:p>
    <w:p w:rsidR="00000000" w:rsidRPr="007E1AA1" w:rsidP="007E1AA1">
      <w:pPr>
        <w:pStyle w:val="ListBullet3"/>
      </w:pPr>
      <w:r w:rsidRPr="007E1AA1">
        <w:t>convective heat transfer coefficients for conduit and annular flow and hydraulic diameter</w:t>
      </w:r>
    </w:p>
    <w:p w:rsidR="00000000" w:rsidRPr="007E1AA1" w:rsidP="007E1AA1">
      <w:pPr>
        <w:pStyle w:val="ListBullet3"/>
      </w:pPr>
      <w:r w:rsidRPr="007E1AA1">
        <w:t>h</w:t>
      </w:r>
      <w:r w:rsidRPr="007E1AA1">
        <w:t>eat exchangers including types, efficiency and measurements</w:t>
      </w:r>
    </w:p>
    <w:p w:rsidR="00000000" w:rsidRPr="007E1AA1" w:rsidP="007E1AA1">
      <w:pPr>
        <w:pStyle w:val="ListBullet2"/>
      </w:pPr>
      <w:r w:rsidRPr="007E1AA1">
        <w:t>radiators including:</w:t>
      </w:r>
    </w:p>
    <w:p w:rsidR="00000000" w:rsidRPr="007E1AA1" w:rsidP="007E1AA1">
      <w:pPr>
        <w:pStyle w:val="ListBullet3"/>
      </w:pPr>
      <w:r w:rsidRPr="007E1AA1">
        <w:t>emission, absorption and reflection (properties and measurements)</w:t>
      </w:r>
    </w:p>
    <w:p w:rsidR="00000000" w:rsidRPr="007E1AA1" w:rsidP="007E1AA1">
      <w:pPr>
        <w:pStyle w:val="ListBullet3"/>
      </w:pPr>
      <w:r w:rsidRPr="007E1AA1">
        <w:t>Wien’s displacement law</w:t>
      </w:r>
    </w:p>
    <w:p w:rsidR="00000000" w:rsidRPr="007E1AA1" w:rsidP="007E1AA1">
      <w:pPr>
        <w:pStyle w:val="ListBullet3"/>
      </w:pPr>
      <w:r w:rsidRPr="007E1AA1">
        <w:t>Kirchhoff’s law</w:t>
      </w:r>
    </w:p>
    <w:p w:rsidR="00000000" w:rsidRPr="007E1AA1" w:rsidP="007E1AA1">
      <w:pPr>
        <w:pStyle w:val="ListBullet2"/>
      </w:pPr>
      <w:r w:rsidRPr="007E1AA1">
        <w:t>solar energy, heating and power generation</w:t>
      </w:r>
    </w:p>
    <w:p w:rsidR="00000000" w:rsidRPr="007E1AA1" w:rsidP="007E1AA1">
      <w:pPr>
        <w:pStyle w:val="ListBullet2"/>
      </w:pPr>
      <w:r w:rsidRPr="007E1AA1">
        <w:t>radiant energy on surfa</w:t>
      </w:r>
      <w:r w:rsidRPr="007E1AA1">
        <w:t xml:space="preserve">ces </w:t>
      </w:r>
    </w:p>
    <w:p w:rsidR="00000000" w:rsidRPr="007E1AA1" w:rsidP="007E1AA1">
      <w:pPr>
        <w:pStyle w:val="ListBullet2"/>
      </w:pPr>
      <w:r w:rsidRPr="007E1AA1">
        <w:t>variations including Azimuth and zenith angles, path length, cloud cover and water vapour, and shade factors for windows</w:t>
      </w:r>
    </w:p>
    <w:p w:rsidR="00000000" w:rsidRPr="007E1AA1" w:rsidP="007E1AA1">
      <w:pPr>
        <w:pStyle w:val="ListBullet2"/>
      </w:pPr>
      <w:r w:rsidRPr="007E1AA1">
        <w:t>combined heat transfer</w:t>
      </w:r>
    </w:p>
    <w:p w:rsidR="00000000" w:rsidRPr="007E1AA1" w:rsidP="007E1AA1">
      <w:pPr>
        <w:pStyle w:val="ListBullet2"/>
      </w:pPr>
      <w:r w:rsidRPr="007E1AA1">
        <w:t>conduction plus convection, including heat exchangers using air and water as transfer mediums</w:t>
      </w:r>
    </w:p>
    <w:p w:rsidR="00000000" w:rsidRPr="007E1AA1" w:rsidP="007E1AA1">
      <w:pPr>
        <w:pStyle w:val="ListBullet2"/>
      </w:pPr>
      <w:r w:rsidRPr="007E1AA1">
        <w:t>conduction, convection and radiation (qualitative)</w:t>
      </w:r>
    </w:p>
    <w:p w:rsidR="00000000" w:rsidRPr="007E1AA1" w:rsidP="007E1AA1">
      <w:pPr>
        <w:pStyle w:val="ListBullet2"/>
      </w:pPr>
      <w:r w:rsidRPr="007E1AA1">
        <w:t>cooling fins</w:t>
      </w:r>
    </w:p>
    <w:p w:rsidR="00000000" w:rsidRPr="007E1AA1" w:rsidP="007E1AA1">
      <w:pPr>
        <w:pStyle w:val="ListBullet2"/>
      </w:pPr>
      <w:r w:rsidRPr="007E1AA1">
        <w:t>heat flow, electrical analogy, graphical solution techniques and qualitative understanding of numerical methods</w:t>
      </w:r>
    </w:p>
    <w:p w:rsidR="00000000" w:rsidRPr="007E1AA1" w:rsidP="007E1AA1">
      <w:pPr>
        <w:pStyle w:val="ListBullet"/>
      </w:pPr>
      <w:r w:rsidRPr="007E1AA1">
        <w:t>vapour-compression refrigeration including:</w:t>
      </w:r>
    </w:p>
    <w:p w:rsidR="00000000" w:rsidRPr="007E1AA1" w:rsidP="007E1AA1">
      <w:pPr>
        <w:pStyle w:val="ListBullet2"/>
      </w:pPr>
      <w:r w:rsidRPr="007E1AA1">
        <w:t>vapour-compression cycle for refri</w:t>
      </w:r>
      <w:r w:rsidRPr="007E1AA1">
        <w:t>geration</w:t>
      </w:r>
    </w:p>
    <w:p w:rsidR="00000000" w:rsidRPr="007E1AA1" w:rsidP="007E1AA1">
      <w:pPr>
        <w:pStyle w:val="ListBullet2"/>
      </w:pPr>
      <w:r w:rsidRPr="007E1AA1">
        <w:t>system components, including throttling valves and capillary tubes as throttling devices</w:t>
      </w:r>
    </w:p>
    <w:p w:rsidR="00000000" w:rsidRPr="007E1AA1" w:rsidP="007E1AA1">
      <w:pPr>
        <w:pStyle w:val="ListBullet2"/>
      </w:pPr>
      <w:r w:rsidRPr="007E1AA1">
        <w:t>performance criteria for refrigeration system evaluation</w:t>
      </w:r>
    </w:p>
    <w:p w:rsidR="00000000" w:rsidRPr="007E1AA1" w:rsidP="007E1AA1">
      <w:pPr>
        <w:pStyle w:val="ListBullet2"/>
      </w:pPr>
      <w:r w:rsidRPr="007E1AA1">
        <w:t>types of refrigerants</w:t>
      </w:r>
    </w:p>
    <w:p w:rsidR="00000000" w:rsidRPr="007E1AA1" w:rsidP="007E1AA1">
      <w:pPr>
        <w:pStyle w:val="ListBullet2"/>
      </w:pPr>
      <w:r w:rsidRPr="007E1AA1">
        <w:t>refrigerant properties and pH diagrams including:</w:t>
      </w:r>
    </w:p>
    <w:p w:rsidR="00000000" w:rsidRPr="007E1AA1" w:rsidP="007E1AA1">
      <w:pPr>
        <w:pStyle w:val="ListBullet3"/>
      </w:pPr>
      <w:r w:rsidRPr="007E1AA1">
        <w:t>ideal vapour compression cyc</w:t>
      </w:r>
      <w:r w:rsidRPr="007E1AA1">
        <w:t>le on the pH diagram</w:t>
      </w:r>
    </w:p>
    <w:p w:rsidR="00000000" w:rsidRPr="007E1AA1" w:rsidP="007E1AA1">
      <w:pPr>
        <w:pStyle w:val="ListBullet3"/>
      </w:pPr>
      <w:r w:rsidRPr="007E1AA1">
        <w:t>energy balance and heat transfers in compressor, evaporator and condenser</w:t>
      </w:r>
    </w:p>
    <w:p w:rsidR="00000000" w:rsidRPr="007E1AA1" w:rsidP="007E1AA1">
      <w:pPr>
        <w:pStyle w:val="ListBullet3"/>
      </w:pPr>
      <w:r w:rsidRPr="007E1AA1">
        <w:t>variation of actual cycles from the ideal</w:t>
      </w:r>
    </w:p>
    <w:p w:rsidR="00000000" w:rsidRPr="007E1AA1" w:rsidP="007E1AA1">
      <w:pPr>
        <w:pStyle w:val="ListBullet3"/>
      </w:pPr>
      <w:r w:rsidRPr="007E1AA1">
        <w:t>vapour-compression cycle with suction superheating, liquid sub-cooling and pressure drop in system components</w:t>
      </w:r>
    </w:p>
    <w:p w:rsidR="00000000" w:rsidRPr="007E1AA1" w:rsidP="007E1AA1">
      <w:pPr>
        <w:pStyle w:val="ListBullet"/>
      </w:pPr>
      <w:r w:rsidRPr="007E1AA1">
        <w:t>mechanical components of vapour compression including refrigeration and HVAC systems</w:t>
      </w:r>
    </w:p>
    <w:p w:rsidR="00000000" w:rsidRPr="007E1AA1" w:rsidP="007E1AA1">
      <w:pPr>
        <w:pStyle w:val="ListBullet"/>
      </w:pPr>
      <w:r w:rsidRPr="007E1AA1">
        <w:t>refrigeration enclosures, cabinets, cold rooms and freezer rooms</w:t>
      </w:r>
    </w:p>
    <w:p w:rsidR="00000000" w:rsidRPr="007E1AA1" w:rsidP="007E1AA1">
      <w:pPr>
        <w:pStyle w:val="ListBullet"/>
      </w:pPr>
      <w:r w:rsidRPr="007E1AA1">
        <w:t>factors affecting refrigeration heat transfer</w:t>
      </w:r>
    </w:p>
    <w:p w:rsidR="00000000" w:rsidRPr="007E1AA1" w:rsidP="007E1AA1">
      <w:pPr>
        <w:pStyle w:val="ListBullet"/>
      </w:pPr>
      <w:r w:rsidRPr="007E1AA1">
        <w:t>building thermal performance survey procedures</w:t>
      </w:r>
    </w:p>
    <w:p w:rsidR="00000000" w:rsidRPr="007E1AA1" w:rsidP="007E1AA1">
      <w:pPr>
        <w:pStyle w:val="ListBullet"/>
      </w:pPr>
      <w:r w:rsidRPr="007E1AA1">
        <w:t>factors affec</w:t>
      </w:r>
      <w:r w:rsidRPr="007E1AA1">
        <w:t>ting building heat gains</w:t>
      </w:r>
    </w:p>
    <w:p w:rsidR="00000000" w:rsidRPr="007E1AA1" w:rsidP="007E1AA1">
      <w:pPr>
        <w:pStyle w:val="ListBullet"/>
      </w:pPr>
      <w:r w:rsidRPr="007E1AA1">
        <w:t>standard thermal values in relation to a commercial or industrial building</w:t>
      </w:r>
    </w:p>
    <w:p w:rsidR="00000000" w:rsidRPr="007E1AA1" w:rsidP="007E1AA1">
      <w:pPr>
        <w:pStyle w:val="ListBullet"/>
      </w:pPr>
      <w:r w:rsidRPr="007E1AA1">
        <w:t>equipment size for constant and variable volume systems and central refrigeration and boiler capacities</w:t>
      </w:r>
    </w:p>
    <w:p w:rsidR="00000000" w:rsidRPr="007E1AA1" w:rsidP="007E1AA1">
      <w:pPr>
        <w:pStyle w:val="ListBullet"/>
      </w:pPr>
      <w:r w:rsidRPr="007E1AA1">
        <w:t>thermal properties of buildings and building materia</w:t>
      </w:r>
      <w:r w:rsidRPr="007E1AA1">
        <w:t>ls</w:t>
      </w:r>
    </w:p>
    <w:p w:rsidR="00000000" w:rsidRPr="007E1AA1" w:rsidP="007E1AA1">
      <w:pPr>
        <w:pStyle w:val="ListBullet"/>
      </w:pPr>
      <w:r w:rsidRPr="007E1AA1">
        <w:t>people loads, occupant comfort and safety factors</w:t>
      </w:r>
    </w:p>
    <w:p w:rsidR="00000000" w:rsidRPr="007E1AA1" w:rsidP="007E1AA1">
      <w:pPr>
        <w:pStyle w:val="ListBullet"/>
      </w:pPr>
      <w:r w:rsidRPr="007E1AA1">
        <w:t>cost implications of air conditioning and heating designs</w:t>
      </w:r>
    </w:p>
    <w:p w:rsidR="00AA4143" w:rsidP="007E1AA1">
      <w:pPr>
        <w:pStyle w:val="ListBullet"/>
      </w:pPr>
      <w:r w:rsidRPr="007E1AA1">
        <w:t>heat loads and thermal lag.</w:t>
      </w:r>
    </w:p>
    <w:p w:rsidR="00AA4143" w:rsidP="007E1AA1">
      <w:pPr>
        <w:pStyle w:val="ListBullet"/>
      </w:pPr>
    </w:p>
    <w:p w:rsidR="00000000" w:rsidRPr="007E1AA1" w:rsidP="007E1AA1">
      <w:pPr>
        <w:pStyle w:val="Heading1"/>
      </w:pPr>
      <w:bookmarkStart w:id="13" w:name="O_944262"/>
      <w:bookmarkEnd w:id="13"/>
      <w:r w:rsidRPr="007E1AA1">
        <w:t>Assessment Conditions</w:t>
      </w:r>
    </w:p>
    <w:p w:rsidR="00000000" w:rsidRPr="007E1AA1" w:rsidP="007E1AA1">
      <w:pPr>
        <w:pStyle w:val="ListBullet"/>
      </w:pPr>
      <w:r w:rsidRPr="007E1AA1">
        <w:t>Assessors must:</w:t>
      </w:r>
    </w:p>
    <w:p w:rsidR="00000000" w:rsidRPr="007E1AA1" w:rsidP="007E1AA1">
      <w:pPr>
        <w:pStyle w:val="ListBullet2"/>
      </w:pPr>
      <w:r w:rsidRPr="007E1AA1">
        <w:t>have vocational competency in evaluating thermal loads for heating, ventilation, air conditioning and refrigeration at least to the level being assessed with relevant industry knowledge and experience</w:t>
      </w:r>
    </w:p>
    <w:p w:rsidR="00000000" w:rsidRPr="007E1AA1" w:rsidP="007E1AA1">
      <w:pPr>
        <w:pStyle w:val="ListBullet2"/>
      </w:pPr>
      <w:r w:rsidRPr="007E1AA1">
        <w:t xml:space="preserve">satisfy the assessor requirements in the </w:t>
      </w:r>
      <w:r w:rsidRPr="007E1AA1">
        <w:rPr>
          <w:rStyle w:val="Emphasis"/>
        </w:rPr>
        <w:t xml:space="preserve">Standards for </w:t>
      </w:r>
      <w:r w:rsidRPr="007E1AA1">
        <w:rPr>
          <w:rStyle w:val="Emphasis"/>
        </w:rPr>
        <w:t xml:space="preserve">Registered Training Organisations 2015 or its replacement </w:t>
      </w:r>
      <w:r w:rsidRPr="007E1AA1">
        <w:t xml:space="preserve">and comply with the </w:t>
      </w:r>
      <w:r w:rsidRPr="007E1AA1">
        <w:rPr>
          <w:rStyle w:val="Emphasis"/>
        </w:rPr>
        <w:t xml:space="preserve">National Vocational Education and Training Regulator Act 2011, </w:t>
      </w:r>
      <w:r w:rsidRPr="007E1AA1">
        <w:t>its replacement</w:t>
      </w:r>
      <w:r w:rsidRPr="007E1AA1">
        <w:rPr>
          <w:rStyle w:val="Emphasis"/>
        </w:rPr>
        <w:t xml:space="preserve"> </w:t>
      </w:r>
      <w:r w:rsidRPr="007E1AA1">
        <w:t>or equivalent legislation covering VET regulation in a non-referring state/territory as the case re</w:t>
      </w:r>
      <w:r w:rsidRPr="007E1AA1">
        <w:t>quires.</w:t>
      </w:r>
    </w:p>
    <w:p w:rsidR="00000000" w:rsidRPr="007E1AA1" w:rsidP="007E1AA1">
      <w:pPr>
        <w:pStyle w:val="ListBullet"/>
      </w:pPr>
      <w:r w:rsidRPr="007E1AA1">
        <w:t>Where possible assessment must occur in operational workplace situations. Where this is not possible or where personal safety or environmental damage are limiting factors, assessment must occur in a sufficiently rigorous simulated environment that</w:t>
      </w:r>
      <w:r w:rsidRPr="007E1AA1">
        <w:t xml:space="preserve">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7E1AA1" w:rsidP="007E1AA1">
      <w:pPr>
        <w:pStyle w:val="ListBullet"/>
      </w:pPr>
      <w:r w:rsidRPr="007E1AA1">
        <w:t xml:space="preserve">Conditions for assessment must </w:t>
      </w:r>
      <w:r w:rsidRPr="007E1AA1">
        <w:t>include access to all tools, equipment, materials and documentation required including relevant workplace procedures, product and manufacturing specifications.</w:t>
      </w:r>
    </w:p>
    <w:p w:rsidR="00AA4143" w:rsidP="007E1AA1">
      <w:pPr>
        <w:pStyle w:val="ListBullet"/>
      </w:pPr>
      <w:r w:rsidRPr="007E1AA1">
        <w:t>Assessment processes and techniques must be appropriate to the language, literacy and numeracy r</w:t>
      </w:r>
      <w:r w:rsidRPr="007E1AA1">
        <w:t>equirements of the work being performed and the needs of the candidate.</w:t>
      </w:r>
    </w:p>
    <w:p w:rsidR="00AA4143" w:rsidP="007E1AA1">
      <w:pPr>
        <w:pStyle w:val="ListBullet"/>
      </w:pPr>
    </w:p>
    <w:p w:rsidR="00000000" w:rsidRPr="007E1AA1" w:rsidP="007E1AA1">
      <w:pPr>
        <w:pStyle w:val="Heading1"/>
      </w:pPr>
      <w:bookmarkStart w:id="14" w:name="O_944260"/>
      <w:bookmarkEnd w:id="14"/>
      <w:r w:rsidRPr="007E1AA1">
        <w:t>Links</w:t>
      </w:r>
    </w:p>
    <w:p w:rsidR="00000000" w:rsidRPr="007E1AA1" w:rsidP="00AA4143">
      <w:pPr>
        <w:pStyle w:val="BodyText"/>
      </w:pPr>
      <w:r w:rsidRPr="007E1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51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E1AA1" w:rsidP="007E1AA1"/>
    <w:sectPr w:rsidSect="007E1A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 w:rsidRPr="00AA4143" w:rsidP="00AA4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43" w:rsidP="007E1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A4143" w:rsidP="007E1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A4143" w:rsidP="007E1A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 w:rsidP="007E1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4143">
      <w:t>Approved</w:t>
    </w:r>
    <w:r w:rsidR="00AA41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414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4143">
      <w:rPr>
        <w:noProof/>
      </w:rPr>
      <w:t>7</w:t>
    </w:r>
    <w:r>
      <w:rPr>
        <w:noProof/>
      </w:rPr>
      <w:fldChar w:fldCharType="end"/>
    </w:r>
  </w:p>
  <w:p w:rsidR="007E1AA1" w:rsidP="007E1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41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4143">
      <w:t>Manufacturing Industry Skills Alliance</w:t>
    </w:r>
    <w:r w:rsidR="00AA4143">
      <w:fldChar w:fldCharType="end"/>
    </w:r>
  </w:p>
  <w:p w:rsidR="007E1AA1" w:rsidP="007E1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AA1" w:rsidRPr="00AA4143" w:rsidP="00AA4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143" w:rsidRPr="002D2AF8" w:rsidP="007E1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MEM23129 Evaluate thermal loads for heating, ventilation, air conditioning and refrigeration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4143" w:rsidP="007E1A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A1" w:rsidRPr="002D2AF8" w:rsidP="007E1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4143">
      <w:t>MEM23129 Evaluate thermal loads for heating, ventilation, air conditioning and refrigeration</w:t>
    </w:r>
    <w:r w:rsidR="00AA41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4143">
      <w:rPr>
        <w:noProof/>
      </w:rPr>
      <w:t>2 March 2025</w:t>
    </w:r>
    <w:r>
      <w:fldChar w:fldCharType="end"/>
    </w:r>
  </w:p>
  <w:p w:rsidR="007E1AA1" w:rsidP="007E1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0B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43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261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AA1"/>
  </w:style>
  <w:style w:type="character" w:customStyle="1" w:styleId="Heading1Char">
    <w:name w:val="Heading 1 Char"/>
    <w:basedOn w:val="DefaultParagraphFont"/>
    <w:link w:val="Heading1"/>
    <w:rsid w:val="007E1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A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AA1"/>
    <w:rPr>
      <w:b/>
      <w:spacing w:val="0"/>
    </w:rPr>
  </w:style>
  <w:style w:type="paragraph" w:styleId="ListBullet2">
    <w:name w:val="List Bullet 2"/>
    <w:basedOn w:val="List2"/>
    <w:rsid w:val="007E1AA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1AA1"/>
    <w:rPr>
      <w:i/>
    </w:rPr>
  </w:style>
  <w:style w:type="paragraph" w:customStyle="1" w:styleId="SuperHeading">
    <w:name w:val="SuperHeading"/>
    <w:basedOn w:val="Normal"/>
    <w:rsid w:val="007E1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1A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1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A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AA1"/>
  </w:style>
  <w:style w:type="paragraph" w:styleId="TableofFigures">
    <w:name w:val="table of figures"/>
    <w:basedOn w:val="Normal"/>
    <w:next w:val="Normal"/>
    <w:semiHidden/>
    <w:rsid w:val="007E1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A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1AA1"/>
    <w:rPr>
      <w:rFonts w:ascii="Wingdings" w:hAnsi="Wingdings"/>
    </w:rPr>
  </w:style>
  <w:style w:type="paragraph" w:customStyle="1" w:styleId="TableHeading">
    <w:name w:val="Table Heading"/>
    <w:basedOn w:val="HeadingBase"/>
    <w:rsid w:val="007E1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AA1"/>
    <w:rPr>
      <w:color w:val="0033CC"/>
      <w:u w:val="none"/>
    </w:rPr>
  </w:style>
  <w:style w:type="paragraph" w:customStyle="1" w:styleId="BodyTextRight">
    <w:name w:val="Body Text Right"/>
    <w:basedOn w:val="BodyText"/>
    <w:rsid w:val="007E1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A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AA1"/>
    <w:rPr>
      <w:sz w:val="32"/>
    </w:rPr>
  </w:style>
  <w:style w:type="paragraph" w:customStyle="1" w:styleId="HeadingProcedure">
    <w:name w:val="Heading Procedure"/>
    <w:basedOn w:val="HeadingBase"/>
    <w:next w:val="Normal"/>
    <w:rsid w:val="007E1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AA1"/>
    <w:pPr>
      <w:spacing w:before="60" w:after="60"/>
    </w:pPr>
  </w:style>
  <w:style w:type="paragraph" w:styleId="ListContinue">
    <w:name w:val="List Continue"/>
    <w:basedOn w:val="List"/>
    <w:rsid w:val="007E1AA1"/>
    <w:pPr>
      <w:ind w:firstLine="0"/>
    </w:pPr>
  </w:style>
  <w:style w:type="paragraph" w:customStyle="1" w:styleId="ListNote">
    <w:name w:val="List Note"/>
    <w:basedOn w:val="List"/>
    <w:rsid w:val="007E1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AA1"/>
    <w:rPr>
      <w:rFonts w:ascii="Courier New" w:hAnsi="Courier New"/>
    </w:rPr>
  </w:style>
  <w:style w:type="paragraph" w:customStyle="1" w:styleId="NoteBullet">
    <w:name w:val="Note Bullet"/>
    <w:basedOn w:val="Note"/>
    <w:rsid w:val="007E1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A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1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AA1"/>
    <w:rPr>
      <w:b/>
      <w:smallCaps/>
    </w:rPr>
  </w:style>
  <w:style w:type="paragraph" w:customStyle="1" w:styleId="TableListNumber">
    <w:name w:val="Table List Number"/>
    <w:basedOn w:val="ListNumber"/>
    <w:rsid w:val="007E1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AA1"/>
    <w:pPr>
      <w:numPr>
        <w:numId w:val="10"/>
      </w:numPr>
    </w:pPr>
  </w:style>
  <w:style w:type="paragraph" w:customStyle="1" w:styleId="ListAlpha2">
    <w:name w:val="List Alpha 2"/>
    <w:basedOn w:val="List2"/>
    <w:rsid w:val="007E1AA1"/>
    <w:pPr>
      <w:numPr>
        <w:numId w:val="9"/>
      </w:numPr>
    </w:pPr>
  </w:style>
  <w:style w:type="paragraph" w:styleId="List2">
    <w:name w:val="List 2"/>
    <w:basedOn w:val="BodyText"/>
    <w:rsid w:val="007E1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A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1A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1AA1"/>
    <w:pPr>
      <w:numPr>
        <w:numId w:val="5"/>
      </w:numPr>
    </w:pPr>
  </w:style>
  <w:style w:type="paragraph" w:styleId="ListContinue2">
    <w:name w:val="List Continue 2"/>
    <w:basedOn w:val="List2"/>
    <w:rsid w:val="007E1AA1"/>
    <w:pPr>
      <w:ind w:firstLine="0"/>
    </w:pPr>
  </w:style>
  <w:style w:type="paragraph" w:styleId="ListContinue3">
    <w:name w:val="List Continue 3"/>
    <w:basedOn w:val="List3"/>
    <w:rsid w:val="007E1AA1"/>
    <w:pPr>
      <w:ind w:left="1021" w:firstLine="0"/>
    </w:pPr>
  </w:style>
  <w:style w:type="paragraph" w:styleId="ListContinue4">
    <w:name w:val="List Continue 4"/>
    <w:basedOn w:val="List4"/>
    <w:rsid w:val="007E1AA1"/>
    <w:pPr>
      <w:ind w:firstLine="0"/>
    </w:pPr>
  </w:style>
  <w:style w:type="paragraph" w:styleId="ListContinue5">
    <w:name w:val="List Continue 5"/>
    <w:basedOn w:val="List5"/>
    <w:rsid w:val="007E1AA1"/>
    <w:pPr>
      <w:ind w:firstLine="0"/>
    </w:pPr>
  </w:style>
  <w:style w:type="paragraph" w:styleId="ListNumber3">
    <w:name w:val="List Number 3"/>
    <w:basedOn w:val="List3"/>
    <w:rsid w:val="007E1AA1"/>
    <w:pPr>
      <w:numPr>
        <w:numId w:val="6"/>
      </w:numPr>
    </w:pPr>
  </w:style>
  <w:style w:type="paragraph" w:styleId="ListNumber4">
    <w:name w:val="List Number 4"/>
    <w:basedOn w:val="List4"/>
    <w:rsid w:val="007E1AA1"/>
    <w:pPr>
      <w:numPr>
        <w:numId w:val="7"/>
      </w:numPr>
    </w:pPr>
  </w:style>
  <w:style w:type="paragraph" w:styleId="ListNumber5">
    <w:name w:val="List Number 5"/>
    <w:basedOn w:val="List5"/>
    <w:rsid w:val="007E1AA1"/>
    <w:pPr>
      <w:numPr>
        <w:numId w:val="8"/>
      </w:numPr>
    </w:pPr>
  </w:style>
  <w:style w:type="paragraph" w:styleId="BlockText">
    <w:name w:val="Block Text"/>
    <w:basedOn w:val="Normal"/>
    <w:rsid w:val="007E1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AA1"/>
    <w:rPr>
      <w:sz w:val="16"/>
      <w:vertAlign w:val="superscript"/>
    </w:rPr>
  </w:style>
  <w:style w:type="character" w:customStyle="1" w:styleId="Symbols">
    <w:name w:val="Symbols"/>
    <w:basedOn w:val="DefaultParagraphFont"/>
    <w:rsid w:val="007E1AA1"/>
    <w:rPr>
      <w:rFonts w:ascii="Symbol" w:hAnsi="Symbol"/>
    </w:rPr>
  </w:style>
  <w:style w:type="character" w:customStyle="1" w:styleId="MenuOptions">
    <w:name w:val="Menu Options"/>
    <w:basedOn w:val="DefaultParagraphFont"/>
    <w:rsid w:val="007E1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AA1"/>
    <w:rPr>
      <w:b/>
    </w:rPr>
  </w:style>
  <w:style w:type="character" w:customStyle="1" w:styleId="Underlined">
    <w:name w:val="Underlined"/>
    <w:basedOn w:val="DefaultParagraphFont"/>
    <w:rsid w:val="007E1AA1"/>
    <w:rPr>
      <w:u w:val="single"/>
    </w:rPr>
  </w:style>
  <w:style w:type="paragraph" w:customStyle="1" w:styleId="TableBodyTextRight">
    <w:name w:val="Table Body Text Right"/>
    <w:basedOn w:val="TableBodyText"/>
    <w:rsid w:val="007E1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AA1"/>
    <w:rPr>
      <w:sz w:val="18"/>
    </w:rPr>
  </w:style>
  <w:style w:type="paragraph" w:customStyle="1" w:styleId="BodySmallRight">
    <w:name w:val="Body Small Right"/>
    <w:basedOn w:val="BodyTextRight"/>
    <w:rsid w:val="007E1AA1"/>
    <w:rPr>
      <w:sz w:val="18"/>
      <w:szCs w:val="18"/>
    </w:rPr>
  </w:style>
  <w:style w:type="paragraph" w:customStyle="1" w:styleId="MarginEdition">
    <w:name w:val="Margin Edition"/>
    <w:basedOn w:val="MarginNote"/>
    <w:rsid w:val="007E1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AA1"/>
    <w:rPr>
      <w:sz w:val="2"/>
      <w:szCs w:val="2"/>
    </w:rPr>
  </w:style>
  <w:style w:type="character" w:customStyle="1" w:styleId="Small">
    <w:name w:val="Small"/>
    <w:basedOn w:val="DefaultParagraphFont"/>
    <w:rsid w:val="007E1AA1"/>
    <w:rPr>
      <w:sz w:val="16"/>
    </w:rPr>
  </w:style>
  <w:style w:type="paragraph" w:customStyle="1" w:styleId="WideTable">
    <w:name w:val="Wide Table"/>
    <w:basedOn w:val="Normal"/>
    <w:rsid w:val="007E1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AA1"/>
  </w:style>
  <w:style w:type="paragraph" w:styleId="Quote">
    <w:name w:val="Quote"/>
    <w:basedOn w:val="Heading1"/>
    <w:link w:val="QuoteChar"/>
    <w:qFormat/>
    <w:rsid w:val="007E1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AA1"/>
    <w:pPr>
      <w:pageBreakBefore/>
    </w:pPr>
  </w:style>
  <w:style w:type="paragraph" w:customStyle="1" w:styleId="Border">
    <w:name w:val="Border"/>
    <w:basedOn w:val="Normal"/>
    <w:qFormat/>
    <w:rsid w:val="007E1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AA1"/>
    <w:rPr>
      <w:u w:val="single"/>
    </w:rPr>
  </w:style>
  <w:style w:type="character" w:customStyle="1" w:styleId="BoldandItalics">
    <w:name w:val="Bold and Italics"/>
    <w:qFormat/>
    <w:rsid w:val="007E1AA1"/>
    <w:rPr>
      <w:b/>
      <w:i/>
      <w:u w:val="none"/>
    </w:rPr>
  </w:style>
  <w:style w:type="paragraph" w:styleId="BalloonText">
    <w:name w:val="Balloon Text"/>
    <w:basedOn w:val="Normal"/>
    <w:link w:val="BalloonTextChar"/>
    <w:rsid w:val="007E1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AA1"/>
    <w:pPr>
      <w:spacing w:before="0" w:after="0"/>
    </w:pPr>
  </w:style>
  <w:style w:type="paragraph" w:customStyle="1" w:styleId="BodyTextBold">
    <w:name w:val="Body Text Bold"/>
    <w:basedOn w:val="BodyText"/>
    <w:qFormat/>
    <w:rsid w:val="007E1AA1"/>
    <w:rPr>
      <w:b/>
    </w:rPr>
  </w:style>
  <w:style w:type="character" w:styleId="Hyperlink">
    <w:name w:val="Hyperlink"/>
    <w:basedOn w:val="DefaultParagraphFont"/>
    <w:uiPriority w:val="99"/>
    <w:unhideWhenUsed/>
    <w:rsid w:val="00AA4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1678</Words>
  <Characters>11480</Characters>
  <Application>Microsoft Office Word</Application>
  <DocSecurity>0</DocSecurity>
  <Lines>302</Lines>
  <Paragraphs>199</Paragraphs>
  <ScaleCrop>false</ScaleCrop>
  <Company>Author-it Software Corporation Ltd.</Company>
  <LinksUpToDate>false</LinksUpToDate>
  <CharactersWithSpaces>12959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MEM23129 Evaluate thermal loads for heating, ventilation, air conditioning and refrigeration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