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743" w:rsidP="00AC5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MEM23129 Evaluate thermal loads for heating, ventilation, air conditioning and refrigeration</w:t>
      </w:r>
      <w:r>
        <w:fldChar w:fldCharType="end"/>
      </w:r>
    </w:p>
    <w:p w:rsidR="00AC5743" w:rsidP="00AC5743">
      <w:pPr>
        <w:pStyle w:val="Version"/>
        <w:sectPr w:rsidSect="00D80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AE8" w:rsidP="00D80AE8">
      <w:pPr>
        <w:pStyle w:val="SuperHeading"/>
      </w:pPr>
      <w:r w:rsidRPr="00D80AE8">
        <w:t>Assessment Requirements for MEM23129 Evaluate thermal loads for heating, ventilation, air conditioning and refrigeration</w:t>
      </w:r>
    </w:p>
    <w:p w:rsidR="00000000" w:rsidRPr="00D80AE8" w:rsidP="00D80AE8">
      <w:pPr>
        <w:pStyle w:val="Heading1"/>
      </w:pPr>
      <w:bookmarkStart w:id="1" w:name="O_944261"/>
      <w:bookmarkEnd w:id="1"/>
      <w:r w:rsidRPr="00D80AE8">
        <w:t>Modification History</w:t>
      </w:r>
    </w:p>
    <w:p w:rsidR="00AC5743" w:rsidP="00AC5743">
      <w:pPr>
        <w:pStyle w:val="BodyText"/>
      </w:pPr>
      <w:r w:rsidRPr="00D80AE8">
        <w:t>Release 1. Supersedes and is equivalent to MEM23129A Evaluate thermal loads for heating, ventilation, air conditioning and refrigeration.</w:t>
      </w:r>
    </w:p>
    <w:p w:rsidR="00000000" w:rsidRPr="00D80AE8" w:rsidP="00D80AE8">
      <w:pPr>
        <w:pStyle w:val="Heading1"/>
      </w:pPr>
      <w:bookmarkStart w:id="2" w:name="O_944264"/>
      <w:bookmarkEnd w:id="2"/>
      <w:r w:rsidRPr="00D80AE8">
        <w:t>Performance Evidence</w:t>
      </w:r>
    </w:p>
    <w:p w:rsidR="00000000" w:rsidRPr="00D80AE8" w:rsidP="00AC5743">
      <w:pPr>
        <w:pStyle w:val="BodyText"/>
      </w:pPr>
      <w:r w:rsidRPr="00D80AE8">
        <w:t>Evidence required to demonstrate competence in this unit must be relevant to an</w:t>
      </w:r>
      <w:r w:rsidRPr="00D80AE8">
        <w:t>d satisfy the requirements of the elements and performance criteria and include:</w:t>
      </w:r>
    </w:p>
    <w:p w:rsidR="00000000" w:rsidRPr="00D80AE8" w:rsidP="00D80AE8">
      <w:pPr>
        <w:pStyle w:val="ListBullet"/>
      </w:pPr>
      <w:r w:rsidRPr="00D80AE8">
        <w:t>determining heating, ventilation, air conditioning and refrigeration (HVACR) system parameters from plans, specifications and site inspections</w:t>
      </w:r>
    </w:p>
    <w:p w:rsidR="00000000" w:rsidRPr="00D80AE8" w:rsidP="00D80AE8">
      <w:pPr>
        <w:pStyle w:val="ListBullet"/>
      </w:pPr>
      <w:r w:rsidRPr="00D80AE8">
        <w:t>investigating sustainability im</w:t>
      </w:r>
      <w:r w:rsidRPr="00D80AE8">
        <w:t>plications of HVACR systems</w:t>
      </w:r>
    </w:p>
    <w:p w:rsidR="00000000" w:rsidRPr="00D80AE8" w:rsidP="00D80AE8">
      <w:pPr>
        <w:pStyle w:val="ListBullet"/>
      </w:pPr>
      <w:r w:rsidRPr="00D80AE8">
        <w:t>identifying relevant thermodynamic principles and techniques for HVACR system thermal load evaluations</w:t>
      </w:r>
    </w:p>
    <w:p w:rsidR="00000000" w:rsidRPr="00D80AE8" w:rsidP="00D80AE8">
      <w:pPr>
        <w:pStyle w:val="ListBullet"/>
      </w:pPr>
      <w:r w:rsidRPr="00D80AE8">
        <w:t>reviewing features and functions of HVACR systems and components</w:t>
      </w:r>
    </w:p>
    <w:p w:rsidR="00000000" w:rsidRPr="00D80AE8" w:rsidP="00D80AE8">
      <w:pPr>
        <w:pStyle w:val="ListBullet"/>
      </w:pPr>
      <w:r w:rsidRPr="00D80AE8">
        <w:t>testing and measuring HVACR systems and component performanc</w:t>
      </w:r>
      <w:r w:rsidRPr="00D80AE8">
        <w:t>e parameters on at least two occasions</w:t>
      </w:r>
    </w:p>
    <w:p w:rsidR="00000000" w:rsidRPr="00D80AE8" w:rsidP="00D80AE8">
      <w:pPr>
        <w:pStyle w:val="ListBullet"/>
      </w:pPr>
      <w:r w:rsidRPr="00D80AE8">
        <w:t>evaluating system and component performance with tabulated and software generated data on at least two occasions</w:t>
      </w:r>
    </w:p>
    <w:p w:rsidR="00000000" w:rsidRPr="00D80AE8" w:rsidP="00D80AE8">
      <w:pPr>
        <w:pStyle w:val="ListBullet"/>
      </w:pPr>
      <w:r w:rsidRPr="00D80AE8">
        <w:t>applying and validating software for analysis and simulation</w:t>
      </w:r>
    </w:p>
    <w:p w:rsidR="00000000" w:rsidRPr="00D80AE8" w:rsidP="00D80AE8">
      <w:pPr>
        <w:pStyle w:val="ListBullet"/>
      </w:pPr>
      <w:r w:rsidRPr="00D80AE8">
        <w:t>reporting and documenting processes, result</w:t>
      </w:r>
      <w:r w:rsidRPr="00D80AE8">
        <w:t>s and recommendations.</w:t>
      </w:r>
    </w:p>
    <w:p w:rsidR="00AC5743" w:rsidP="00AC5743">
      <w:pPr>
        <w:pStyle w:val="BodyText"/>
      </w:pPr>
      <w:r w:rsidRPr="00D80AE8">
        <w:t>Note: Where a volume and/or frequency is not specified, demonstration must be provided at least once.</w:t>
      </w:r>
    </w:p>
    <w:p w:rsidR="00000000" w:rsidRPr="00D80AE8" w:rsidP="00D80AE8">
      <w:pPr>
        <w:pStyle w:val="Heading1"/>
      </w:pPr>
      <w:bookmarkStart w:id="3" w:name="O_944263"/>
      <w:bookmarkEnd w:id="3"/>
      <w:r w:rsidRPr="00D80AE8">
        <w:t>Knowledge Evidence</w:t>
      </w:r>
    </w:p>
    <w:p w:rsidR="00000000" w:rsidRPr="00D80AE8" w:rsidP="00AC5743">
      <w:pPr>
        <w:pStyle w:val="BodyText"/>
      </w:pPr>
      <w:r w:rsidRPr="00D80AE8">
        <w:t xml:space="preserve">Evidence required to demonstrate the required knowledge for this unit must be relevant to and </w:t>
      </w:r>
      <w:r w:rsidRPr="00D80AE8">
        <w:t>satisfy the requirements of the elements and performance criteria and include knowledge of:</w:t>
      </w:r>
    </w:p>
    <w:p w:rsidR="00000000" w:rsidRPr="00D80AE8" w:rsidP="00D80AE8">
      <w:pPr>
        <w:pStyle w:val="ListBullet"/>
      </w:pPr>
      <w:r w:rsidRPr="00D80AE8">
        <w:t>work health and safety (WHS) and regulatory requirements, codes of practice, standards, risk management and registration requirements</w:t>
      </w:r>
    </w:p>
    <w:p w:rsidR="00000000" w:rsidRPr="00D80AE8" w:rsidP="00D80AE8">
      <w:pPr>
        <w:pStyle w:val="ListBullet"/>
      </w:pPr>
      <w:r w:rsidRPr="00D80AE8">
        <w:t>sources of professional and t</w:t>
      </w:r>
      <w:r w:rsidRPr="00D80AE8">
        <w:t>echnical assistance</w:t>
      </w:r>
    </w:p>
    <w:p w:rsidR="00000000" w:rsidRPr="00D80AE8" w:rsidP="00D80AE8">
      <w:pPr>
        <w:pStyle w:val="ListBullet"/>
      </w:pPr>
      <w:r w:rsidRPr="00D80AE8">
        <w:t>current options and trends in performance analysis software, including underpinning program techniques</w:t>
      </w:r>
    </w:p>
    <w:p w:rsidR="00000000" w:rsidRPr="00D80AE8" w:rsidP="00D80AE8">
      <w:pPr>
        <w:pStyle w:val="ListBullet"/>
      </w:pPr>
      <w:r w:rsidRPr="00D80AE8">
        <w:t>thermal load measuring equipment and test apparatus</w:t>
      </w:r>
    </w:p>
    <w:p w:rsidR="00000000" w:rsidRPr="00D80AE8" w:rsidP="00D80AE8">
      <w:pPr>
        <w:pStyle w:val="ListBullet"/>
      </w:pPr>
      <w:r w:rsidRPr="00D80AE8">
        <w:t>sustainability implications of HVACR systems, including consideration of energy sources and energy efficiency</w:t>
      </w:r>
    </w:p>
    <w:p w:rsidR="00000000" w:rsidRPr="00D80AE8" w:rsidP="00D80AE8">
      <w:pPr>
        <w:pStyle w:val="ListBullet"/>
      </w:pPr>
      <w:r w:rsidRPr="00D80AE8">
        <w:t>thermodynamic principles required by thermal loading analysis and HVACR management systems</w:t>
      </w:r>
    </w:p>
    <w:p w:rsidR="00000000" w:rsidRPr="00D80AE8" w:rsidP="00D80AE8">
      <w:pPr>
        <w:pStyle w:val="ListBullet"/>
      </w:pPr>
      <w:r w:rsidRPr="00D80AE8">
        <w:t>thermodynamic concepts related to HVACR including:</w:t>
      </w:r>
    </w:p>
    <w:p w:rsidR="00000000" w:rsidRPr="00D80AE8" w:rsidP="00D80AE8">
      <w:pPr>
        <w:pStyle w:val="ListBullet2"/>
      </w:pPr>
      <w:r w:rsidRPr="00D80AE8">
        <w:t>pro</w:t>
      </w:r>
      <w:r w:rsidRPr="00D80AE8">
        <w:t>perties, process and state</w:t>
      </w:r>
    </w:p>
    <w:p w:rsidR="00000000" w:rsidRPr="00D80AE8" w:rsidP="00D80AE8">
      <w:pPr>
        <w:pStyle w:val="ListBullet2"/>
      </w:pPr>
      <w:r w:rsidRPr="00D80AE8">
        <w:t>mass, conservation of mass, specific volume and density, specific volume, relative density, force, weight, pressure, temperature, Zeroth law, absolute scales and International System of Units (SI) units</w:t>
      </w:r>
    </w:p>
    <w:p w:rsidR="00000000" w:rsidRPr="00D80AE8" w:rsidP="00D80AE8">
      <w:pPr>
        <w:pStyle w:val="ListBullet2"/>
      </w:pPr>
      <w:r w:rsidRPr="00D80AE8">
        <w:t>systems, cycles and steady</w:t>
      </w:r>
      <w:r w:rsidRPr="00D80AE8">
        <w:t xml:space="preserve"> state</w:t>
      </w:r>
    </w:p>
    <w:p w:rsidR="00000000" w:rsidRPr="00D80AE8" w:rsidP="00D80AE8">
      <w:pPr>
        <w:pStyle w:val="ListBullet"/>
      </w:pPr>
      <w:r w:rsidRPr="00D80AE8">
        <w:t>energy forms</w:t>
      </w:r>
    </w:p>
    <w:p w:rsidR="00000000" w:rsidRPr="00D80AE8" w:rsidP="00D80AE8">
      <w:pPr>
        <w:pStyle w:val="ListBullet"/>
      </w:pPr>
      <w:r w:rsidRPr="00D80AE8">
        <w:t>effects of heating of solids and liquids</w:t>
      </w:r>
    </w:p>
    <w:p w:rsidR="00000000" w:rsidRPr="00D80AE8" w:rsidP="00D80AE8">
      <w:pPr>
        <w:pStyle w:val="ListBullet"/>
      </w:pPr>
      <w:r w:rsidRPr="00D80AE8">
        <w:t>heat transfer, conduction, convection and radiation including:</w:t>
      </w:r>
    </w:p>
    <w:p w:rsidR="00000000" w:rsidRPr="00D80AE8" w:rsidP="00D80AE8">
      <w:pPr>
        <w:pStyle w:val="ListBullet2"/>
      </w:pPr>
      <w:r w:rsidRPr="00D80AE8">
        <w:t>property tables for conductivity, convection and radiation coefficients</w:t>
      </w:r>
    </w:p>
    <w:p w:rsidR="00000000" w:rsidRPr="00D80AE8" w:rsidP="00D80AE8">
      <w:pPr>
        <w:pStyle w:val="ListBullet2"/>
      </w:pPr>
      <w:r w:rsidRPr="00D80AE8">
        <w:t>Fourier law of conduction and conductivity of materials</w:t>
      </w:r>
    </w:p>
    <w:p w:rsidR="00000000" w:rsidRPr="00D80AE8" w:rsidP="00D80AE8">
      <w:pPr>
        <w:pStyle w:val="ListBullet2"/>
      </w:pPr>
      <w:r w:rsidRPr="00D80AE8">
        <w:t>co</w:t>
      </w:r>
      <w:r w:rsidRPr="00D80AE8">
        <w:t>nvection including:</w:t>
      </w:r>
    </w:p>
    <w:p w:rsidR="00000000" w:rsidRPr="00D80AE8" w:rsidP="00D80AE8">
      <w:pPr>
        <w:pStyle w:val="ListBullet3"/>
      </w:pPr>
      <w:r w:rsidRPr="00D80AE8">
        <w:t>mechanism of convection</w:t>
      </w:r>
    </w:p>
    <w:p w:rsidR="00000000" w:rsidRPr="00D80AE8" w:rsidP="00D80AE8">
      <w:pPr>
        <w:pStyle w:val="ListBullet3"/>
      </w:pPr>
      <w:r w:rsidRPr="00D80AE8">
        <w:t>convection heat transfer coefficient and factors affecting the coefficient</w:t>
      </w:r>
    </w:p>
    <w:p w:rsidR="00000000" w:rsidRPr="00D80AE8" w:rsidP="00D80AE8">
      <w:pPr>
        <w:pStyle w:val="ListBullet3"/>
      </w:pPr>
      <w:r w:rsidRPr="00D80AE8">
        <w:t>fluid flow characteristics including geometry of convection surfaces, natural and forced convection and flow regime</w:t>
      </w:r>
    </w:p>
    <w:p w:rsidR="00000000" w:rsidRPr="00D80AE8" w:rsidP="00D80AE8">
      <w:pPr>
        <w:pStyle w:val="ListBullet3"/>
      </w:pPr>
      <w:r w:rsidRPr="00D80AE8">
        <w:t>units, kinematic viscosity and dynamic viscosity</w:t>
      </w:r>
    </w:p>
    <w:p w:rsidR="00000000" w:rsidRPr="00D80AE8" w:rsidP="00D80AE8">
      <w:pPr>
        <w:pStyle w:val="ListBullet3"/>
      </w:pPr>
      <w:r w:rsidRPr="00D80AE8">
        <w:t>convective heat transfer coefficients for conduit and annular flow and hydraulic diameter</w:t>
      </w:r>
    </w:p>
    <w:p w:rsidR="00000000" w:rsidRPr="00D80AE8" w:rsidP="00D80AE8">
      <w:pPr>
        <w:pStyle w:val="ListBullet3"/>
      </w:pPr>
      <w:r w:rsidRPr="00D80AE8">
        <w:t>heat exchangers including types, efficiency and measurements</w:t>
      </w:r>
    </w:p>
    <w:p w:rsidR="00000000" w:rsidRPr="00D80AE8" w:rsidP="00D80AE8">
      <w:pPr>
        <w:pStyle w:val="ListBullet2"/>
      </w:pPr>
      <w:r w:rsidRPr="00D80AE8">
        <w:t>radiators including:</w:t>
      </w:r>
    </w:p>
    <w:p w:rsidR="00000000" w:rsidRPr="00D80AE8" w:rsidP="00D80AE8">
      <w:pPr>
        <w:pStyle w:val="ListBullet3"/>
      </w:pPr>
      <w:r w:rsidRPr="00D80AE8">
        <w:t>emission, absorption and reflecti</w:t>
      </w:r>
      <w:r w:rsidRPr="00D80AE8">
        <w:t>on (properties and measurements)</w:t>
      </w:r>
    </w:p>
    <w:p w:rsidR="00000000" w:rsidRPr="00D80AE8" w:rsidP="00D80AE8">
      <w:pPr>
        <w:pStyle w:val="ListBullet3"/>
      </w:pPr>
      <w:r w:rsidRPr="00D80AE8">
        <w:t>Wien’s displacement law</w:t>
      </w:r>
    </w:p>
    <w:p w:rsidR="00000000" w:rsidRPr="00D80AE8" w:rsidP="00D80AE8">
      <w:pPr>
        <w:pStyle w:val="ListBullet3"/>
      </w:pPr>
      <w:r w:rsidRPr="00D80AE8">
        <w:t>Kirchhoff’s law</w:t>
      </w:r>
    </w:p>
    <w:p w:rsidR="00000000" w:rsidRPr="00D80AE8" w:rsidP="00D80AE8">
      <w:pPr>
        <w:pStyle w:val="ListBullet2"/>
      </w:pPr>
      <w:r w:rsidRPr="00D80AE8">
        <w:t>solar energy, heating and power generation</w:t>
      </w:r>
    </w:p>
    <w:p w:rsidR="00000000" w:rsidRPr="00D80AE8" w:rsidP="00D80AE8">
      <w:pPr>
        <w:pStyle w:val="ListBullet2"/>
      </w:pPr>
      <w:r w:rsidRPr="00D80AE8">
        <w:t xml:space="preserve">radiant energy on surfaces </w:t>
      </w:r>
    </w:p>
    <w:p w:rsidR="00000000" w:rsidRPr="00D80AE8" w:rsidP="00D80AE8">
      <w:pPr>
        <w:pStyle w:val="ListBullet2"/>
      </w:pPr>
      <w:r w:rsidRPr="00D80AE8">
        <w:t>variations including Azimuth and zenith angles, path length, cloud cover and water vapour, and shade factors fo</w:t>
      </w:r>
      <w:r w:rsidRPr="00D80AE8">
        <w:t>r windows</w:t>
      </w:r>
    </w:p>
    <w:p w:rsidR="00000000" w:rsidRPr="00D80AE8" w:rsidP="00D80AE8">
      <w:pPr>
        <w:pStyle w:val="ListBullet2"/>
      </w:pPr>
      <w:r w:rsidRPr="00D80AE8">
        <w:t>combined heat transfer</w:t>
      </w:r>
    </w:p>
    <w:p w:rsidR="00000000" w:rsidRPr="00D80AE8" w:rsidP="00D80AE8">
      <w:pPr>
        <w:pStyle w:val="ListBullet2"/>
      </w:pPr>
      <w:r w:rsidRPr="00D80AE8">
        <w:t>conduction plus convection, including heat exchangers using air and water as transfer mediums</w:t>
      </w:r>
    </w:p>
    <w:p w:rsidR="00000000" w:rsidRPr="00D80AE8" w:rsidP="00D80AE8">
      <w:pPr>
        <w:pStyle w:val="ListBullet2"/>
      </w:pPr>
      <w:r w:rsidRPr="00D80AE8">
        <w:t>conduction, convection and radiation (qualitative)</w:t>
      </w:r>
    </w:p>
    <w:p w:rsidR="00000000" w:rsidRPr="00D80AE8" w:rsidP="00D80AE8">
      <w:pPr>
        <w:pStyle w:val="ListBullet2"/>
      </w:pPr>
      <w:r w:rsidRPr="00D80AE8">
        <w:t>cooling fins</w:t>
      </w:r>
    </w:p>
    <w:p w:rsidR="00000000" w:rsidRPr="00D80AE8" w:rsidP="00D80AE8">
      <w:pPr>
        <w:pStyle w:val="ListBullet2"/>
      </w:pPr>
      <w:r w:rsidRPr="00D80AE8">
        <w:t>heat flow, electrical analogy, graphical solution techniques and qualitative understanding of numerical methods</w:t>
      </w:r>
    </w:p>
    <w:p w:rsidR="00000000" w:rsidRPr="00D80AE8" w:rsidP="00D80AE8">
      <w:pPr>
        <w:pStyle w:val="ListBullet"/>
      </w:pPr>
      <w:r w:rsidRPr="00D80AE8">
        <w:t>vapour-compression refrigeration including:</w:t>
      </w:r>
    </w:p>
    <w:p w:rsidR="00000000" w:rsidRPr="00D80AE8" w:rsidP="00D80AE8">
      <w:pPr>
        <w:pStyle w:val="ListBullet2"/>
      </w:pPr>
      <w:r w:rsidRPr="00D80AE8">
        <w:t>vapour-compression cycle for refrigeration</w:t>
      </w:r>
    </w:p>
    <w:p w:rsidR="00000000" w:rsidRPr="00D80AE8" w:rsidP="00D80AE8">
      <w:pPr>
        <w:pStyle w:val="ListBullet2"/>
      </w:pPr>
      <w:r w:rsidRPr="00D80AE8">
        <w:t>system components, including throttling valves and capi</w:t>
      </w:r>
      <w:r w:rsidRPr="00D80AE8">
        <w:t>llary tubes as throttling devices</w:t>
      </w:r>
    </w:p>
    <w:p w:rsidR="00000000" w:rsidRPr="00D80AE8" w:rsidP="00D80AE8">
      <w:pPr>
        <w:pStyle w:val="ListBullet2"/>
      </w:pPr>
      <w:r w:rsidRPr="00D80AE8">
        <w:t>performance criteria for refrigeration system evaluation</w:t>
      </w:r>
    </w:p>
    <w:p w:rsidR="00000000" w:rsidRPr="00D80AE8" w:rsidP="00D80AE8">
      <w:pPr>
        <w:pStyle w:val="ListBullet2"/>
      </w:pPr>
      <w:r w:rsidRPr="00D80AE8">
        <w:t>types of refrigerants</w:t>
      </w:r>
    </w:p>
    <w:p w:rsidR="00000000" w:rsidRPr="00D80AE8" w:rsidP="00D80AE8">
      <w:pPr>
        <w:pStyle w:val="ListBullet2"/>
      </w:pPr>
      <w:r w:rsidRPr="00D80AE8">
        <w:t>refrigerant properties and pH diagrams including:</w:t>
      </w:r>
    </w:p>
    <w:p w:rsidR="00000000" w:rsidRPr="00D80AE8" w:rsidP="00D80AE8">
      <w:pPr>
        <w:pStyle w:val="ListBullet3"/>
      </w:pPr>
      <w:r w:rsidRPr="00D80AE8">
        <w:t>ideal vapour compression cycle on the pH diagram</w:t>
      </w:r>
    </w:p>
    <w:p w:rsidR="00000000" w:rsidRPr="00D80AE8" w:rsidP="00D80AE8">
      <w:pPr>
        <w:pStyle w:val="ListBullet3"/>
      </w:pPr>
      <w:r w:rsidRPr="00D80AE8">
        <w:t>energy balance and heat transfers in compressor, evaporator and condenser</w:t>
      </w:r>
    </w:p>
    <w:p w:rsidR="00000000" w:rsidRPr="00D80AE8" w:rsidP="00D80AE8">
      <w:pPr>
        <w:pStyle w:val="ListBullet3"/>
      </w:pPr>
      <w:r w:rsidRPr="00D80AE8">
        <w:t>variation of actual cycles from the ideal</w:t>
      </w:r>
    </w:p>
    <w:p w:rsidR="00000000" w:rsidRPr="00D80AE8" w:rsidP="00D80AE8">
      <w:pPr>
        <w:pStyle w:val="ListBullet3"/>
      </w:pPr>
      <w:r w:rsidRPr="00D80AE8">
        <w:t>vapour-compression cycle with suction superheating, liquid sub-cooling and pressure drop in system components</w:t>
      </w:r>
    </w:p>
    <w:p w:rsidR="00000000" w:rsidRPr="00D80AE8" w:rsidP="00D80AE8">
      <w:pPr>
        <w:pStyle w:val="ListBullet"/>
      </w:pPr>
      <w:r w:rsidRPr="00D80AE8">
        <w:t>mechanical components of vapo</w:t>
      </w:r>
      <w:r w:rsidRPr="00D80AE8">
        <w:t>ur compression including refrigeration and HVAC systems</w:t>
      </w:r>
    </w:p>
    <w:p w:rsidR="00000000" w:rsidRPr="00D80AE8" w:rsidP="00D80AE8">
      <w:pPr>
        <w:pStyle w:val="ListBullet"/>
      </w:pPr>
      <w:r w:rsidRPr="00D80AE8">
        <w:t>refrigeration enclosures, cabinets, cold rooms and freezer rooms</w:t>
      </w:r>
    </w:p>
    <w:p w:rsidR="00000000" w:rsidRPr="00D80AE8" w:rsidP="00D80AE8">
      <w:pPr>
        <w:pStyle w:val="ListBullet"/>
      </w:pPr>
      <w:r w:rsidRPr="00D80AE8">
        <w:t>factors affecting refrigeration heat transfer</w:t>
      </w:r>
    </w:p>
    <w:p w:rsidR="00000000" w:rsidRPr="00D80AE8" w:rsidP="00D80AE8">
      <w:pPr>
        <w:pStyle w:val="ListBullet"/>
      </w:pPr>
      <w:r w:rsidRPr="00D80AE8">
        <w:t>building thermal performance survey procedures</w:t>
      </w:r>
    </w:p>
    <w:p w:rsidR="00000000" w:rsidRPr="00D80AE8" w:rsidP="00D80AE8">
      <w:pPr>
        <w:pStyle w:val="ListBullet"/>
      </w:pPr>
      <w:r w:rsidRPr="00D80AE8">
        <w:t>factors affecting building heat gains</w:t>
      </w:r>
    </w:p>
    <w:p w:rsidR="00000000" w:rsidRPr="00D80AE8" w:rsidP="00D80AE8">
      <w:pPr>
        <w:pStyle w:val="ListBullet"/>
      </w:pPr>
      <w:r w:rsidRPr="00D80AE8">
        <w:t>stan</w:t>
      </w:r>
      <w:r w:rsidRPr="00D80AE8">
        <w:t>dard thermal values in relation to a commercial or industrial building</w:t>
      </w:r>
    </w:p>
    <w:p w:rsidR="00000000" w:rsidRPr="00D80AE8" w:rsidP="00D80AE8">
      <w:pPr>
        <w:pStyle w:val="ListBullet"/>
      </w:pPr>
      <w:r w:rsidRPr="00D80AE8">
        <w:t>equipment size for constant and variable volume systems and central refrigeration and boiler capacities</w:t>
      </w:r>
    </w:p>
    <w:p w:rsidR="00000000" w:rsidRPr="00D80AE8" w:rsidP="00D80AE8">
      <w:pPr>
        <w:pStyle w:val="ListBullet"/>
      </w:pPr>
      <w:r w:rsidRPr="00D80AE8">
        <w:t>thermal properties of buildings and building materials</w:t>
      </w:r>
    </w:p>
    <w:p w:rsidR="00000000" w:rsidRPr="00D80AE8" w:rsidP="00D80AE8">
      <w:pPr>
        <w:pStyle w:val="ListBullet"/>
      </w:pPr>
      <w:r w:rsidRPr="00D80AE8">
        <w:t>people loads, occupant com</w:t>
      </w:r>
      <w:r w:rsidRPr="00D80AE8">
        <w:t>fort and safety factors</w:t>
      </w:r>
    </w:p>
    <w:p w:rsidR="00000000" w:rsidRPr="00D80AE8" w:rsidP="00D80AE8">
      <w:pPr>
        <w:pStyle w:val="ListBullet"/>
      </w:pPr>
      <w:r w:rsidRPr="00D80AE8">
        <w:t>cost implications of air conditioning and heating designs</w:t>
      </w:r>
    </w:p>
    <w:p w:rsidR="00AC5743" w:rsidP="00D80AE8">
      <w:pPr>
        <w:pStyle w:val="ListBullet"/>
      </w:pPr>
      <w:r w:rsidRPr="00D80AE8">
        <w:t>heat loads and thermal lag.</w:t>
      </w:r>
    </w:p>
    <w:p w:rsidR="00AC5743" w:rsidP="00D80AE8">
      <w:pPr>
        <w:pStyle w:val="ListBullet"/>
      </w:pPr>
    </w:p>
    <w:p w:rsidR="00000000" w:rsidRPr="00D80AE8" w:rsidP="00D80AE8">
      <w:pPr>
        <w:pStyle w:val="Heading1"/>
      </w:pPr>
      <w:bookmarkStart w:id="4" w:name="O_944262"/>
      <w:bookmarkEnd w:id="4"/>
      <w:r w:rsidRPr="00D80AE8">
        <w:t>Assessment Conditions</w:t>
      </w:r>
    </w:p>
    <w:p w:rsidR="00000000" w:rsidRPr="00D80AE8" w:rsidP="00D80AE8">
      <w:pPr>
        <w:pStyle w:val="ListBullet"/>
      </w:pPr>
      <w:r w:rsidRPr="00D80AE8">
        <w:t>Assessors must:</w:t>
      </w:r>
    </w:p>
    <w:p w:rsidR="00000000" w:rsidRPr="00D80AE8" w:rsidP="00D80AE8">
      <w:pPr>
        <w:pStyle w:val="ListBullet2"/>
      </w:pPr>
      <w:r w:rsidRPr="00D80AE8">
        <w:t>have vocational competency in evaluating thermal loads for heating, ventilation, air conditioning and refrigeration at least to the level being assessed with relevant industry knowledge and experience</w:t>
      </w:r>
    </w:p>
    <w:p w:rsidR="00000000" w:rsidRPr="00D80AE8" w:rsidP="00D80AE8">
      <w:pPr>
        <w:pStyle w:val="ListBullet2"/>
      </w:pPr>
      <w:r w:rsidRPr="00D80AE8">
        <w:t xml:space="preserve">satisfy the assessor requirements in the </w:t>
      </w:r>
      <w:r w:rsidRPr="00D80AE8">
        <w:rPr>
          <w:rStyle w:val="Emphasis"/>
        </w:rPr>
        <w:t xml:space="preserve">Standards for </w:t>
      </w:r>
      <w:r w:rsidRPr="00D80AE8">
        <w:rPr>
          <w:rStyle w:val="Emphasis"/>
        </w:rPr>
        <w:t xml:space="preserve">Registered Training Organisations 2015 or its replacement </w:t>
      </w:r>
      <w:r w:rsidRPr="00D80AE8">
        <w:t xml:space="preserve">and comply with the </w:t>
      </w:r>
      <w:r w:rsidRPr="00D80AE8">
        <w:rPr>
          <w:rStyle w:val="Emphasis"/>
        </w:rPr>
        <w:t xml:space="preserve">National Vocational Education and Training Regulator Act 2011, </w:t>
      </w:r>
      <w:r w:rsidRPr="00D80AE8">
        <w:t>its replacement</w:t>
      </w:r>
      <w:r w:rsidRPr="00D80AE8">
        <w:rPr>
          <w:rStyle w:val="Emphasis"/>
        </w:rPr>
        <w:t xml:space="preserve"> </w:t>
      </w:r>
      <w:r w:rsidRPr="00D80AE8">
        <w:t>or equivalent legislation covering VET regulation in a non-referring state/territory as the case re</w:t>
      </w:r>
      <w:r w:rsidRPr="00D80AE8">
        <w:t>quires.</w:t>
      </w:r>
    </w:p>
    <w:p w:rsidR="00000000" w:rsidRPr="00D80AE8" w:rsidP="00D80AE8">
      <w:pPr>
        <w:pStyle w:val="ListBullet"/>
      </w:pPr>
      <w:r w:rsidRPr="00D80AE8">
        <w:t>Where possible assessment must occur in operational workplace situations. Where this is not possible or where personal safety or environmental damage are limiting factors, assessment must occur in a sufficiently rigorous simulated environment that</w:t>
      </w:r>
      <w:r w:rsidRPr="00D80AE8">
        <w:t xml:space="preserve">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D80AE8" w:rsidP="00D80AE8">
      <w:pPr>
        <w:pStyle w:val="ListBullet"/>
      </w:pPr>
      <w:r w:rsidRPr="00D80AE8">
        <w:t xml:space="preserve">Conditions for assessment must </w:t>
      </w:r>
      <w:r w:rsidRPr="00D80AE8">
        <w:t>include access to all tools, equipment, materials and documentation required including relevant workplace procedures, product and manufacturing specifications.</w:t>
      </w:r>
    </w:p>
    <w:p w:rsidR="00AC5743" w:rsidP="00D80AE8">
      <w:pPr>
        <w:pStyle w:val="ListBullet"/>
      </w:pPr>
      <w:r w:rsidRPr="00D80AE8">
        <w:t>Assessment processes and techniques must be appropriate to the language, literacy and numeracy r</w:t>
      </w:r>
      <w:r w:rsidRPr="00D80AE8">
        <w:t>equirements of the work being performed and the needs of the candidate.</w:t>
      </w:r>
    </w:p>
    <w:p w:rsidR="00AC5743" w:rsidP="00D80AE8">
      <w:pPr>
        <w:pStyle w:val="ListBullet"/>
      </w:pPr>
    </w:p>
    <w:p w:rsidR="00000000" w:rsidRPr="00D80AE8" w:rsidP="00D80AE8">
      <w:pPr>
        <w:pStyle w:val="Heading1"/>
      </w:pPr>
      <w:bookmarkStart w:id="5" w:name="O_944260"/>
      <w:bookmarkEnd w:id="5"/>
      <w:r w:rsidRPr="00D80AE8">
        <w:t>Links</w:t>
      </w:r>
    </w:p>
    <w:p w:rsidR="00000000" w:rsidRPr="00D80AE8" w:rsidP="00AC5743">
      <w:pPr>
        <w:pStyle w:val="BodyText"/>
      </w:pPr>
      <w:r w:rsidRPr="00D80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02C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0AE8" w:rsidP="00D80AE8"/>
    <w:sectPr w:rsidSect="00D80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E8" w:rsidRPr="00AC5743" w:rsidP="00AC5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43" w:rsidP="00D80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743" w:rsidP="00D80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5743" w:rsidP="00D80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AE8" w:rsidRPr="00AC5743" w:rsidP="00AC5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43" w:rsidRPr="002D2AF8" w:rsidP="00D80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MEM23129 Evaluate thermal loads for heating, ventilation, air conditioning and refrigeration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C5743" w:rsidP="00D80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2E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82A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26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AE8"/>
  </w:style>
  <w:style w:type="character" w:customStyle="1" w:styleId="Heading1Char">
    <w:name w:val="Heading 1 Char"/>
    <w:basedOn w:val="DefaultParagraphFont"/>
    <w:link w:val="Heading1"/>
    <w:rsid w:val="00D80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A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0A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0AE8"/>
    <w:rPr>
      <w:i/>
    </w:rPr>
  </w:style>
  <w:style w:type="paragraph" w:customStyle="1" w:styleId="SuperHeading">
    <w:name w:val="SuperHeading"/>
    <w:basedOn w:val="Normal"/>
    <w:rsid w:val="00D80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0A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0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AE8"/>
    <w:rPr>
      <w:b/>
      <w:spacing w:val="0"/>
    </w:rPr>
  </w:style>
  <w:style w:type="paragraph" w:customStyle="1" w:styleId="SuperTitle">
    <w:name w:val="SuperTitle"/>
    <w:basedOn w:val="Title"/>
    <w:rsid w:val="00D80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0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AE8"/>
  </w:style>
  <w:style w:type="paragraph" w:styleId="TableofFigures">
    <w:name w:val="table of figures"/>
    <w:basedOn w:val="Normal"/>
    <w:next w:val="Normal"/>
    <w:semiHidden/>
    <w:rsid w:val="00D80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A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0AE8"/>
    <w:rPr>
      <w:rFonts w:ascii="Wingdings" w:hAnsi="Wingdings"/>
    </w:rPr>
  </w:style>
  <w:style w:type="paragraph" w:customStyle="1" w:styleId="TableHeading">
    <w:name w:val="Table Heading"/>
    <w:basedOn w:val="HeadingBase"/>
    <w:rsid w:val="00D80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AE8"/>
    <w:rPr>
      <w:color w:val="0033CC"/>
      <w:u w:val="none"/>
    </w:rPr>
  </w:style>
  <w:style w:type="paragraph" w:customStyle="1" w:styleId="BodyTextRight">
    <w:name w:val="Body Text Right"/>
    <w:basedOn w:val="BodyText"/>
    <w:rsid w:val="00D80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A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AE8"/>
    <w:rPr>
      <w:sz w:val="32"/>
    </w:rPr>
  </w:style>
  <w:style w:type="paragraph" w:customStyle="1" w:styleId="HeadingProcedure">
    <w:name w:val="Heading Procedure"/>
    <w:basedOn w:val="HeadingBase"/>
    <w:next w:val="Normal"/>
    <w:rsid w:val="00D80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AE8"/>
    <w:pPr>
      <w:spacing w:before="60" w:after="60"/>
    </w:pPr>
  </w:style>
  <w:style w:type="paragraph" w:styleId="ListContinue">
    <w:name w:val="List Continue"/>
    <w:basedOn w:val="List"/>
    <w:rsid w:val="00D80AE8"/>
    <w:pPr>
      <w:ind w:firstLine="0"/>
    </w:pPr>
  </w:style>
  <w:style w:type="paragraph" w:customStyle="1" w:styleId="ListNote">
    <w:name w:val="List Note"/>
    <w:basedOn w:val="List"/>
    <w:rsid w:val="00D80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AE8"/>
    <w:rPr>
      <w:rFonts w:ascii="Courier New" w:hAnsi="Courier New"/>
    </w:rPr>
  </w:style>
  <w:style w:type="paragraph" w:customStyle="1" w:styleId="NoteBullet">
    <w:name w:val="Note Bullet"/>
    <w:basedOn w:val="Note"/>
    <w:rsid w:val="00D80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A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0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AE8"/>
    <w:rPr>
      <w:b/>
      <w:smallCaps/>
    </w:rPr>
  </w:style>
  <w:style w:type="paragraph" w:customStyle="1" w:styleId="TableListNumber">
    <w:name w:val="Table List Number"/>
    <w:basedOn w:val="ListNumber"/>
    <w:rsid w:val="00D80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AE8"/>
    <w:pPr>
      <w:numPr>
        <w:numId w:val="10"/>
      </w:numPr>
    </w:pPr>
  </w:style>
  <w:style w:type="paragraph" w:customStyle="1" w:styleId="ListAlpha2">
    <w:name w:val="List Alpha 2"/>
    <w:basedOn w:val="List2"/>
    <w:rsid w:val="00D80AE8"/>
    <w:pPr>
      <w:numPr>
        <w:numId w:val="9"/>
      </w:numPr>
    </w:pPr>
  </w:style>
  <w:style w:type="paragraph" w:styleId="List2">
    <w:name w:val="List 2"/>
    <w:basedOn w:val="BodyText"/>
    <w:rsid w:val="00D80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A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0A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0AE8"/>
    <w:pPr>
      <w:numPr>
        <w:numId w:val="5"/>
      </w:numPr>
    </w:pPr>
  </w:style>
  <w:style w:type="paragraph" w:styleId="ListContinue2">
    <w:name w:val="List Continue 2"/>
    <w:basedOn w:val="List2"/>
    <w:rsid w:val="00D80AE8"/>
    <w:pPr>
      <w:ind w:firstLine="0"/>
    </w:pPr>
  </w:style>
  <w:style w:type="paragraph" w:styleId="ListContinue3">
    <w:name w:val="List Continue 3"/>
    <w:basedOn w:val="List3"/>
    <w:rsid w:val="00D80AE8"/>
    <w:pPr>
      <w:ind w:left="1021" w:firstLine="0"/>
    </w:pPr>
  </w:style>
  <w:style w:type="paragraph" w:styleId="ListContinue4">
    <w:name w:val="List Continue 4"/>
    <w:basedOn w:val="List4"/>
    <w:rsid w:val="00D80AE8"/>
    <w:pPr>
      <w:ind w:firstLine="0"/>
    </w:pPr>
  </w:style>
  <w:style w:type="paragraph" w:styleId="ListContinue5">
    <w:name w:val="List Continue 5"/>
    <w:basedOn w:val="List5"/>
    <w:rsid w:val="00D80AE8"/>
    <w:pPr>
      <w:ind w:firstLine="0"/>
    </w:pPr>
  </w:style>
  <w:style w:type="paragraph" w:styleId="ListNumber3">
    <w:name w:val="List Number 3"/>
    <w:basedOn w:val="List3"/>
    <w:rsid w:val="00D80AE8"/>
    <w:pPr>
      <w:numPr>
        <w:numId w:val="6"/>
      </w:numPr>
    </w:pPr>
  </w:style>
  <w:style w:type="paragraph" w:styleId="ListNumber4">
    <w:name w:val="List Number 4"/>
    <w:basedOn w:val="List4"/>
    <w:rsid w:val="00D80AE8"/>
    <w:pPr>
      <w:numPr>
        <w:numId w:val="7"/>
      </w:numPr>
    </w:pPr>
  </w:style>
  <w:style w:type="paragraph" w:styleId="ListNumber5">
    <w:name w:val="List Number 5"/>
    <w:basedOn w:val="List5"/>
    <w:rsid w:val="00D80AE8"/>
    <w:pPr>
      <w:numPr>
        <w:numId w:val="8"/>
      </w:numPr>
    </w:pPr>
  </w:style>
  <w:style w:type="paragraph" w:styleId="BlockText">
    <w:name w:val="Block Text"/>
    <w:basedOn w:val="Normal"/>
    <w:rsid w:val="00D80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AE8"/>
    <w:rPr>
      <w:sz w:val="16"/>
      <w:vertAlign w:val="superscript"/>
    </w:rPr>
  </w:style>
  <w:style w:type="character" w:customStyle="1" w:styleId="Symbols">
    <w:name w:val="Symbols"/>
    <w:basedOn w:val="DefaultParagraphFont"/>
    <w:rsid w:val="00D80AE8"/>
    <w:rPr>
      <w:rFonts w:ascii="Symbol" w:hAnsi="Symbol"/>
    </w:rPr>
  </w:style>
  <w:style w:type="character" w:customStyle="1" w:styleId="MenuOptions">
    <w:name w:val="Menu Options"/>
    <w:basedOn w:val="DefaultParagraphFont"/>
    <w:rsid w:val="00D80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AE8"/>
    <w:rPr>
      <w:b/>
    </w:rPr>
  </w:style>
  <w:style w:type="character" w:customStyle="1" w:styleId="Underlined">
    <w:name w:val="Underlined"/>
    <w:basedOn w:val="DefaultParagraphFont"/>
    <w:rsid w:val="00D80AE8"/>
    <w:rPr>
      <w:u w:val="single"/>
    </w:rPr>
  </w:style>
  <w:style w:type="paragraph" w:customStyle="1" w:styleId="TableBodyTextRight">
    <w:name w:val="Table Body Text Right"/>
    <w:basedOn w:val="TableBodyText"/>
    <w:rsid w:val="00D80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AE8"/>
    <w:rPr>
      <w:sz w:val="18"/>
    </w:rPr>
  </w:style>
  <w:style w:type="paragraph" w:customStyle="1" w:styleId="BodySmallRight">
    <w:name w:val="Body Small Right"/>
    <w:basedOn w:val="BodyTextRight"/>
    <w:rsid w:val="00D80AE8"/>
    <w:rPr>
      <w:sz w:val="18"/>
      <w:szCs w:val="18"/>
    </w:rPr>
  </w:style>
  <w:style w:type="paragraph" w:customStyle="1" w:styleId="MarginEdition">
    <w:name w:val="Margin Edition"/>
    <w:basedOn w:val="MarginNote"/>
    <w:rsid w:val="00D80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AE8"/>
    <w:rPr>
      <w:sz w:val="2"/>
      <w:szCs w:val="2"/>
    </w:rPr>
  </w:style>
  <w:style w:type="character" w:customStyle="1" w:styleId="Small">
    <w:name w:val="Small"/>
    <w:basedOn w:val="DefaultParagraphFont"/>
    <w:rsid w:val="00D80AE8"/>
    <w:rPr>
      <w:sz w:val="16"/>
    </w:rPr>
  </w:style>
  <w:style w:type="paragraph" w:customStyle="1" w:styleId="WideTable">
    <w:name w:val="Wide Table"/>
    <w:basedOn w:val="Normal"/>
    <w:rsid w:val="00D80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AE8"/>
  </w:style>
  <w:style w:type="paragraph" w:styleId="Quote">
    <w:name w:val="Quote"/>
    <w:basedOn w:val="Heading1"/>
    <w:link w:val="QuoteChar"/>
    <w:qFormat/>
    <w:rsid w:val="00D80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AE8"/>
    <w:pPr>
      <w:pageBreakBefore/>
    </w:pPr>
  </w:style>
  <w:style w:type="paragraph" w:customStyle="1" w:styleId="Border">
    <w:name w:val="Border"/>
    <w:basedOn w:val="Normal"/>
    <w:qFormat/>
    <w:rsid w:val="00D80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AE8"/>
    <w:rPr>
      <w:u w:val="single"/>
    </w:rPr>
  </w:style>
  <w:style w:type="character" w:customStyle="1" w:styleId="BoldandItalics">
    <w:name w:val="Bold and Italics"/>
    <w:qFormat/>
    <w:rsid w:val="00D80AE8"/>
    <w:rPr>
      <w:b/>
      <w:i/>
      <w:u w:val="none"/>
    </w:rPr>
  </w:style>
  <w:style w:type="paragraph" w:styleId="BalloonText">
    <w:name w:val="Balloon Text"/>
    <w:basedOn w:val="Normal"/>
    <w:link w:val="BalloonTextChar"/>
    <w:rsid w:val="00D80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AE8"/>
    <w:pPr>
      <w:spacing w:before="0" w:after="0"/>
    </w:pPr>
  </w:style>
  <w:style w:type="paragraph" w:customStyle="1" w:styleId="BodyTextBold">
    <w:name w:val="Body Text Bold"/>
    <w:basedOn w:val="BodyText"/>
    <w:qFormat/>
    <w:rsid w:val="00D80AE8"/>
    <w:rPr>
      <w:b/>
    </w:rPr>
  </w:style>
  <w:style w:type="character" w:styleId="Hyperlink">
    <w:name w:val="Hyperlink"/>
    <w:basedOn w:val="DefaultParagraphFont"/>
    <w:uiPriority w:val="99"/>
    <w:unhideWhenUsed/>
    <w:rsid w:val="00AC5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5860</Characters>
  <Application>Microsoft Office Word</Application>
  <DocSecurity>0</DocSecurity>
  <Lines>130</Lines>
  <Paragraphs>94</Paragraphs>
  <ScaleCrop>false</ScaleCrop>
  <Company>Author-it Software Corporation Ltd.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MEM23129 Evaluate thermal loads for heating, ventilation, air conditioning and refrigeration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