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D66" w:rsidP="00A42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MEM23126 Evaluate industrial robotic applications</w:t>
      </w:r>
      <w:r>
        <w:fldChar w:fldCharType="end"/>
      </w:r>
    </w:p>
    <w:p w:rsidR="00A42D66" w:rsidP="00A42D66">
      <w:pPr>
        <w:pStyle w:val="Version"/>
        <w:sectPr w:rsidSect="00036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182" w:rsidP="00036182">
      <w:pPr>
        <w:pStyle w:val="SuperHeading"/>
      </w:pPr>
      <w:r w:rsidRPr="00036182">
        <w:t>Assessment Requirements for MEM23126 Evaluate industrial robotic applications</w:t>
      </w:r>
    </w:p>
    <w:p w:rsidR="00000000" w:rsidRPr="00036182" w:rsidP="00036182">
      <w:pPr>
        <w:pStyle w:val="Heading1"/>
      </w:pPr>
      <w:bookmarkStart w:id="1" w:name="O_944242"/>
      <w:bookmarkEnd w:id="1"/>
      <w:r w:rsidRPr="00036182">
        <w:t>Modification History</w:t>
      </w:r>
    </w:p>
    <w:p w:rsidR="00A42D66" w:rsidP="00A42D66">
      <w:pPr>
        <w:pStyle w:val="BodyText"/>
      </w:pPr>
      <w:r w:rsidRPr="00036182">
        <w:t>Release 1. Supersedes and is equivalent to MEM23126A Evaluate industrial robotic applications.</w:t>
      </w:r>
    </w:p>
    <w:p w:rsidR="00000000" w:rsidRPr="00036182" w:rsidP="00036182">
      <w:pPr>
        <w:pStyle w:val="Heading1"/>
      </w:pPr>
      <w:bookmarkStart w:id="2" w:name="O_944245"/>
      <w:bookmarkEnd w:id="2"/>
      <w:r w:rsidRPr="00036182">
        <w:t>Performance Evidence</w:t>
      </w:r>
    </w:p>
    <w:p w:rsidR="00000000" w:rsidRPr="00036182" w:rsidP="00A42D66">
      <w:pPr>
        <w:pStyle w:val="BodyText"/>
      </w:pPr>
      <w:r w:rsidRPr="00036182">
        <w:t>Evidence required to demonstrate competence in this unit must be relevant to and satisfy the requirements of the elements and performance criteria and include:</w:t>
      </w:r>
    </w:p>
    <w:p w:rsidR="00000000" w:rsidRPr="00036182" w:rsidP="00036182">
      <w:pPr>
        <w:pStyle w:val="ListBullet"/>
      </w:pPr>
      <w:r w:rsidRPr="00036182">
        <w:t>identifying work health and safety (WHS), regulatory and risk management compliance requirement</w:t>
      </w:r>
      <w:r w:rsidRPr="00036182">
        <w:t>s, including those related to automation safety</w:t>
      </w:r>
    </w:p>
    <w:p w:rsidR="00000000" w:rsidRPr="00036182" w:rsidP="00036182">
      <w:pPr>
        <w:pStyle w:val="ListBullet"/>
      </w:pPr>
      <w:r w:rsidRPr="00036182">
        <w:t>investigating sustainability implications of robotic applications</w:t>
      </w:r>
    </w:p>
    <w:p w:rsidR="00000000" w:rsidRPr="00036182" w:rsidP="00036182">
      <w:pPr>
        <w:pStyle w:val="ListBullet"/>
      </w:pPr>
      <w:r w:rsidRPr="00036182">
        <w:t xml:space="preserve">identifying, reviewing and classifying features and functions of robotic applications and robotic devices, robotic principles and techniques, </w:t>
      </w:r>
      <w:r w:rsidRPr="00036182">
        <w:t>analysis techniques and software</w:t>
      </w:r>
    </w:p>
    <w:p w:rsidR="00000000" w:rsidRPr="00036182" w:rsidP="00036182">
      <w:pPr>
        <w:pStyle w:val="ListBullet"/>
      </w:pPr>
      <w:r w:rsidRPr="00036182">
        <w:t>evaluating robotic hardware</w:t>
      </w:r>
    </w:p>
    <w:p w:rsidR="00000000" w:rsidRPr="00036182" w:rsidP="00036182">
      <w:pPr>
        <w:pStyle w:val="ListBullet"/>
      </w:pPr>
      <w:r w:rsidRPr="00036182">
        <w:t>evaluating robotic motion, load capability, accuracy, precision, efficiency and repeatability on at least two occasions</w:t>
      </w:r>
    </w:p>
    <w:p w:rsidR="00000000" w:rsidRPr="00036182" w:rsidP="00036182">
      <w:pPr>
        <w:pStyle w:val="ListBullet"/>
      </w:pPr>
      <w:r w:rsidRPr="00036182">
        <w:t xml:space="preserve">evaluating system integration, networking, data sharing, control and human </w:t>
      </w:r>
      <w:r w:rsidRPr="00036182">
        <w:t>machine interfaces, software and programming, supervisory control and data acquisition (SCADA) or distributed control system (DCS), and system simulation</w:t>
      </w:r>
    </w:p>
    <w:p w:rsidR="00000000" w:rsidRPr="00036182" w:rsidP="00036182">
      <w:pPr>
        <w:pStyle w:val="ListBullet"/>
      </w:pPr>
      <w:r w:rsidRPr="00036182">
        <w:t>applying mock-up or prototyping and virtual techniques for robot and subsystem testing on at least two</w:t>
      </w:r>
      <w:r w:rsidRPr="00036182">
        <w:t xml:space="preserve"> occasions</w:t>
      </w:r>
    </w:p>
    <w:p w:rsidR="00000000" w:rsidRPr="00036182" w:rsidP="00036182">
      <w:pPr>
        <w:pStyle w:val="ListBullet"/>
      </w:pPr>
      <w:r w:rsidRPr="00036182">
        <w:t>reporting and documenting processes and results of evaluation, including calculations, specifications, diagrams, computer programs and files, and mock-ups or prototypes.</w:t>
      </w:r>
    </w:p>
    <w:p w:rsidR="00A42D66" w:rsidP="00A42D66">
      <w:pPr>
        <w:pStyle w:val="BodyText"/>
      </w:pPr>
      <w:r w:rsidRPr="00036182">
        <w:t xml:space="preserve">Note: Where a volume and/or frequency is not specified, demonstration must </w:t>
      </w:r>
      <w:r w:rsidRPr="00036182">
        <w:t>be provided at least once.</w:t>
      </w:r>
    </w:p>
    <w:p w:rsidR="00000000" w:rsidRPr="00036182" w:rsidP="00036182">
      <w:pPr>
        <w:pStyle w:val="Heading1"/>
      </w:pPr>
      <w:bookmarkStart w:id="3" w:name="O_944244"/>
      <w:bookmarkEnd w:id="3"/>
      <w:r w:rsidRPr="00036182">
        <w:t>Knowledge Evidence</w:t>
      </w:r>
    </w:p>
    <w:p w:rsidR="00000000" w:rsidRPr="00036182" w:rsidP="00A42D66">
      <w:pPr>
        <w:pStyle w:val="BodyText"/>
      </w:pPr>
      <w:r w:rsidRPr="00036182">
        <w:t>Evidence required to demonstrate the required knowledge for this unit must be relevant to and satisfy the requirements of the elements and performance criteria and include knowledge of:</w:t>
      </w:r>
    </w:p>
    <w:p w:rsidR="00000000" w:rsidRPr="00036182" w:rsidP="00036182">
      <w:pPr>
        <w:pStyle w:val="ListBullet"/>
      </w:pPr>
      <w:r w:rsidRPr="00036182">
        <w:t>compl</w:t>
      </w:r>
      <w:r w:rsidRPr="00036182">
        <w:t>iance requirements of WHS and regulatory requirements, codes of practice, standards and risk management requirements for robotic applications</w:t>
      </w:r>
    </w:p>
    <w:p w:rsidR="00000000" w:rsidRPr="00036182" w:rsidP="00036182">
      <w:pPr>
        <w:pStyle w:val="ListBullet"/>
      </w:pPr>
      <w:r w:rsidRPr="00036182">
        <w:t>classifications and applications of industrial and mobile robotic devices or systems</w:t>
      </w:r>
    </w:p>
    <w:p w:rsidR="00000000" w:rsidRPr="00036182" w:rsidP="00036182">
      <w:pPr>
        <w:pStyle w:val="ListBullet"/>
      </w:pPr>
      <w:r w:rsidRPr="00036182">
        <w:t>features, mechanisms and components of robots</w:t>
      </w:r>
    </w:p>
    <w:p w:rsidR="00000000" w:rsidRPr="00036182" w:rsidP="00036182">
      <w:pPr>
        <w:pStyle w:val="ListBullet"/>
      </w:pPr>
      <w:r w:rsidRPr="00036182">
        <w:t>advantages and disadvantages of different types of actuators for engineering applications</w:t>
      </w:r>
    </w:p>
    <w:p w:rsidR="00000000" w:rsidRPr="00036182" w:rsidP="00036182">
      <w:pPr>
        <w:pStyle w:val="ListBullet"/>
      </w:pPr>
      <w:r w:rsidRPr="00036182">
        <w:t xml:space="preserve">types of actuator power interfaces </w:t>
      </w:r>
    </w:p>
    <w:p w:rsidR="00000000" w:rsidRPr="00036182" w:rsidP="00036182">
      <w:pPr>
        <w:pStyle w:val="ListBullet"/>
      </w:pPr>
      <w:r w:rsidRPr="00036182">
        <w:t>end effectors and their applications</w:t>
      </w:r>
    </w:p>
    <w:p w:rsidR="00000000" w:rsidRPr="00036182" w:rsidP="00036182">
      <w:pPr>
        <w:pStyle w:val="ListBullet"/>
      </w:pPr>
      <w:r w:rsidRPr="00036182">
        <w:t>robot sensors including:</w:t>
      </w:r>
    </w:p>
    <w:p w:rsidR="00000000" w:rsidRPr="00036182" w:rsidP="00036182">
      <w:pPr>
        <w:pStyle w:val="ListBullet2"/>
      </w:pPr>
      <w:r w:rsidRPr="00036182">
        <w:t>contact, proximity an</w:t>
      </w:r>
      <w:r w:rsidRPr="00036182">
        <w:t>d interrupted beam</w:t>
      </w:r>
    </w:p>
    <w:p w:rsidR="00000000" w:rsidRPr="00036182" w:rsidP="00036182">
      <w:pPr>
        <w:pStyle w:val="ListBullet2"/>
      </w:pPr>
      <w:r w:rsidRPr="00036182">
        <w:t>distance sensing</w:t>
      </w:r>
    </w:p>
    <w:p w:rsidR="00000000" w:rsidRPr="00036182" w:rsidP="00036182">
      <w:pPr>
        <w:pStyle w:val="ListBullet2"/>
      </w:pPr>
      <w:r w:rsidRPr="00036182">
        <w:t>pressure and temperature</w:t>
      </w:r>
    </w:p>
    <w:p w:rsidR="00000000" w:rsidRPr="00036182" w:rsidP="00036182">
      <w:pPr>
        <w:pStyle w:val="ListBullet2"/>
      </w:pPr>
      <w:r w:rsidRPr="00036182">
        <w:t>relative and absolute encoders</w:t>
      </w:r>
    </w:p>
    <w:p w:rsidR="00000000" w:rsidRPr="00036182" w:rsidP="00036182">
      <w:pPr>
        <w:pStyle w:val="ListBullet2"/>
      </w:pPr>
      <w:r w:rsidRPr="00036182">
        <w:t>vision and smart cameras</w:t>
      </w:r>
    </w:p>
    <w:p w:rsidR="00000000" w:rsidRPr="00036182" w:rsidP="00036182">
      <w:pPr>
        <w:pStyle w:val="ListBullet"/>
      </w:pPr>
      <w:r w:rsidRPr="00036182">
        <w:t>sensor interface/transducer signal conditioning techniques and analog to digital converter (ADC)</w:t>
      </w:r>
    </w:p>
    <w:p w:rsidR="00000000" w:rsidRPr="00036182" w:rsidP="00036182">
      <w:pPr>
        <w:pStyle w:val="ListBullet"/>
      </w:pPr>
      <w:r w:rsidRPr="00036182">
        <w:t>online and offline programming methods</w:t>
      </w:r>
    </w:p>
    <w:p w:rsidR="00000000" w:rsidRPr="00036182" w:rsidP="00036182">
      <w:pPr>
        <w:pStyle w:val="ListBullet"/>
      </w:pPr>
      <w:r w:rsidRPr="00036182">
        <w:t>me</w:t>
      </w:r>
      <w:r w:rsidRPr="00036182">
        <w:t>chanical, fluid power, electrical, electronic, programming, communications and networking principles and techniques related to robotics</w:t>
      </w:r>
    </w:p>
    <w:p w:rsidR="00000000" w:rsidRPr="00036182" w:rsidP="00036182">
      <w:pPr>
        <w:pStyle w:val="ListBullet"/>
      </w:pPr>
      <w:r w:rsidRPr="00036182">
        <w:t>role of kinematic and kinetic analysis of robot mechanisms</w:t>
      </w:r>
    </w:p>
    <w:p w:rsidR="00000000" w:rsidRPr="00036182" w:rsidP="00036182">
      <w:pPr>
        <w:pStyle w:val="ListBullet"/>
      </w:pPr>
      <w:r w:rsidRPr="00036182">
        <w:t>analysis of motions, loads, accuracy, precision and repeatabi</w:t>
      </w:r>
      <w:r w:rsidRPr="00036182">
        <w:t>lity</w:t>
      </w:r>
    </w:p>
    <w:p w:rsidR="00000000" w:rsidRPr="00036182" w:rsidP="00036182">
      <w:pPr>
        <w:pStyle w:val="ListBullet"/>
      </w:pPr>
      <w:r w:rsidRPr="00036182">
        <w:t>situations requiring licensed trade, technical or professional assistance including actuator power interfacing</w:t>
      </w:r>
    </w:p>
    <w:p w:rsidR="00000000" w:rsidRPr="00036182" w:rsidP="00036182">
      <w:pPr>
        <w:pStyle w:val="ListBullet"/>
      </w:pPr>
      <w:r w:rsidRPr="00036182">
        <w:t>interfaces for sensors and actuators, including the use of signal conditioning techniques and ADC, power interfacing and digital to analog converter (DAC), and pulse-width modulation (PWM)</w:t>
      </w:r>
    </w:p>
    <w:p w:rsidR="00000000" w:rsidRPr="00036182" w:rsidP="00036182">
      <w:pPr>
        <w:pStyle w:val="ListBullet"/>
      </w:pPr>
      <w:r w:rsidRPr="00036182">
        <w:t>programming techniques for motion control and load handling with sp</w:t>
      </w:r>
      <w:r w:rsidRPr="00036182">
        <w:t>ecialist input including vision systems, proximity and distance measurement inputs, and variable velocity control which may be implemented using packaged routines</w:t>
      </w:r>
    </w:p>
    <w:p w:rsidR="00000000" w:rsidRPr="00036182" w:rsidP="00036182">
      <w:pPr>
        <w:pStyle w:val="ListBullet"/>
      </w:pPr>
      <w:r w:rsidRPr="00036182">
        <w:t>automation safety in systems and programs including appropriate use of emergency stop, failsa</w:t>
      </w:r>
      <w:r w:rsidRPr="00036182">
        <w:t>fe design, redundancy, interlocks, guarding and data integrity</w:t>
      </w:r>
    </w:p>
    <w:p w:rsidR="00000000" w:rsidRPr="00036182" w:rsidP="00036182">
      <w:pPr>
        <w:pStyle w:val="ListBullet"/>
      </w:pPr>
      <w:r w:rsidRPr="00036182">
        <w:t>system integration of sensing, control, end effectors and actuators, data requirements, network topology and communication protocols required</w:t>
      </w:r>
    </w:p>
    <w:p w:rsidR="00000000" w:rsidRPr="00036182" w:rsidP="00036182">
      <w:pPr>
        <w:pStyle w:val="ListBullet"/>
      </w:pPr>
      <w:r w:rsidRPr="00036182">
        <w:t xml:space="preserve">software for simulation, motion analysis, control, </w:t>
      </w:r>
      <w:r w:rsidRPr="00036182">
        <w:t>digital to analogue converter (DAC) and SCADA</w:t>
      </w:r>
    </w:p>
    <w:p w:rsidR="00A42D66" w:rsidP="00036182">
      <w:pPr>
        <w:pStyle w:val="ListBullet"/>
      </w:pPr>
      <w:r w:rsidRPr="00036182">
        <w:t>sustainability implications of industrial robotics.</w:t>
      </w:r>
    </w:p>
    <w:p w:rsidR="00A42D66" w:rsidP="00036182">
      <w:pPr>
        <w:pStyle w:val="ListBullet"/>
      </w:pPr>
    </w:p>
    <w:p w:rsidR="00000000" w:rsidRPr="00036182" w:rsidP="00036182">
      <w:pPr>
        <w:pStyle w:val="Heading1"/>
      </w:pPr>
      <w:bookmarkStart w:id="4" w:name="O_944243"/>
      <w:bookmarkEnd w:id="4"/>
      <w:r w:rsidRPr="00036182">
        <w:t>Assessment Conditions</w:t>
      </w:r>
    </w:p>
    <w:p w:rsidR="00000000" w:rsidRPr="00036182" w:rsidP="00036182">
      <w:pPr>
        <w:pStyle w:val="ListBullet"/>
      </w:pPr>
      <w:r w:rsidRPr="00036182">
        <w:t>Assessors must:</w:t>
      </w:r>
    </w:p>
    <w:p w:rsidR="00000000" w:rsidRPr="00036182" w:rsidP="00036182">
      <w:pPr>
        <w:pStyle w:val="ListBullet2"/>
      </w:pPr>
      <w:r w:rsidRPr="00036182">
        <w:t>have vocational competency in evaluating industrial robotic applications at least to the level being</w:t>
      </w:r>
      <w:r w:rsidRPr="00036182">
        <w:t xml:space="preserve"> assessed with relevant industry knowledge and experience</w:t>
      </w:r>
    </w:p>
    <w:p w:rsidR="00000000" w:rsidRPr="00036182" w:rsidP="00036182">
      <w:pPr>
        <w:pStyle w:val="ListBullet2"/>
      </w:pPr>
      <w:r w:rsidRPr="00036182">
        <w:t xml:space="preserve">satisfy the assessor requirements in the </w:t>
      </w:r>
      <w:r w:rsidRPr="00036182">
        <w:rPr>
          <w:rStyle w:val="Emphasis"/>
        </w:rPr>
        <w:t xml:space="preserve">Standards for Registered Training Organisations 2015 or its replacement </w:t>
      </w:r>
      <w:r w:rsidRPr="00036182">
        <w:t xml:space="preserve">and comply with the </w:t>
      </w:r>
      <w:r w:rsidRPr="00036182">
        <w:rPr>
          <w:rStyle w:val="Emphasis"/>
        </w:rPr>
        <w:t xml:space="preserve">National Vocational Education and Training Regulator Act 2011, </w:t>
      </w:r>
      <w:r w:rsidRPr="00036182">
        <w:t>it</w:t>
      </w:r>
      <w:r w:rsidRPr="00036182">
        <w:t>s replacement</w:t>
      </w:r>
      <w:r w:rsidRPr="00036182">
        <w:rPr>
          <w:rStyle w:val="Emphasis"/>
        </w:rPr>
        <w:t xml:space="preserve"> </w:t>
      </w:r>
      <w:r w:rsidRPr="00036182">
        <w:t>or equivalent legislation covering VET regulation in a non-referring state/territory as the case requires.</w:t>
      </w:r>
    </w:p>
    <w:p w:rsidR="00000000" w:rsidRPr="00036182" w:rsidP="00036182">
      <w:pPr>
        <w:pStyle w:val="ListBullet"/>
      </w:pPr>
      <w:r w:rsidRPr="00036182">
        <w:t>Where possible assessment must occur in operational workplace situations. Where this is not possible or where personal safety or envir</w:t>
      </w:r>
      <w:r w:rsidRPr="00036182">
        <w:t xml:space="preserve">onmental damage are limiting factors, assessment must occur in a sufficiently rigorous simulated environment that reflects realistic operational workplace conditions that cover all aspects of workplace performance, including environment, task skills, task </w:t>
      </w:r>
      <w:r w:rsidRPr="00036182">
        <w:t>management skills, contingency management skills and job role environment skills.</w:t>
      </w:r>
    </w:p>
    <w:p w:rsidR="00000000" w:rsidRPr="00036182" w:rsidP="00036182">
      <w:pPr>
        <w:pStyle w:val="ListBullet"/>
      </w:pPr>
      <w:r w:rsidRPr="00036182">
        <w:t>Conditions for assessment must include access to all tools, equipment, materials and documentation required including relevant workplace procedures, product and manufacturing specifications.</w:t>
      </w:r>
    </w:p>
    <w:p w:rsidR="00A42D66" w:rsidP="00036182">
      <w:pPr>
        <w:pStyle w:val="ListBullet"/>
      </w:pPr>
      <w:r w:rsidRPr="00036182">
        <w:t>Assessment processes and techniques must be appropriate to the la</w:t>
      </w:r>
      <w:r w:rsidRPr="00036182">
        <w:t>nguage, literacy and numeracy requirements of the work being performed and the needs of the candidate.</w:t>
      </w:r>
    </w:p>
    <w:p w:rsidR="00A42D66" w:rsidP="00036182">
      <w:pPr>
        <w:pStyle w:val="ListBullet"/>
      </w:pPr>
    </w:p>
    <w:p w:rsidR="00000000" w:rsidRPr="00036182" w:rsidP="00036182">
      <w:pPr>
        <w:pStyle w:val="Heading1"/>
      </w:pPr>
      <w:bookmarkStart w:id="5" w:name="O_944241"/>
      <w:bookmarkEnd w:id="5"/>
      <w:r w:rsidRPr="00036182">
        <w:t>Links</w:t>
      </w:r>
    </w:p>
    <w:p w:rsidR="00000000" w:rsidRPr="00036182" w:rsidP="00A42D66">
      <w:pPr>
        <w:pStyle w:val="BodyText"/>
      </w:pPr>
      <w:r w:rsidRPr="00036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F16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36182" w:rsidP="00036182"/>
    <w:sectPr w:rsidSect="00036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82" w:rsidRPr="00A42D66" w:rsidP="00A42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D66" w:rsidP="00036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D66" w:rsidP="00036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2D66" w:rsidP="00036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182" w:rsidRPr="00A42D66" w:rsidP="00A42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D66" w:rsidRPr="002D2AF8" w:rsidP="00036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MEM23126 Evaluate industrial robotic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42D66" w:rsidP="00036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987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4A4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BCE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182"/>
  </w:style>
  <w:style w:type="character" w:customStyle="1" w:styleId="Heading1Char">
    <w:name w:val="Heading 1 Char"/>
    <w:basedOn w:val="DefaultParagraphFont"/>
    <w:link w:val="Heading1"/>
    <w:rsid w:val="00036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1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61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6182"/>
    <w:rPr>
      <w:i/>
    </w:rPr>
  </w:style>
  <w:style w:type="paragraph" w:customStyle="1" w:styleId="SuperHeading">
    <w:name w:val="SuperHeading"/>
    <w:basedOn w:val="Normal"/>
    <w:rsid w:val="00036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6182"/>
    <w:rPr>
      <w:b/>
      <w:spacing w:val="0"/>
    </w:rPr>
  </w:style>
  <w:style w:type="paragraph" w:customStyle="1" w:styleId="SuperTitle">
    <w:name w:val="SuperTitle"/>
    <w:basedOn w:val="Title"/>
    <w:rsid w:val="00036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1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182"/>
  </w:style>
  <w:style w:type="paragraph" w:styleId="TableofFigures">
    <w:name w:val="table of figures"/>
    <w:basedOn w:val="Normal"/>
    <w:next w:val="Normal"/>
    <w:semiHidden/>
    <w:rsid w:val="00036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1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6182"/>
    <w:rPr>
      <w:rFonts w:ascii="Wingdings" w:hAnsi="Wingdings"/>
    </w:rPr>
  </w:style>
  <w:style w:type="paragraph" w:customStyle="1" w:styleId="TableHeading">
    <w:name w:val="Table Heading"/>
    <w:basedOn w:val="HeadingBase"/>
    <w:rsid w:val="00036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182"/>
    <w:rPr>
      <w:color w:val="0033CC"/>
      <w:u w:val="none"/>
    </w:rPr>
  </w:style>
  <w:style w:type="paragraph" w:customStyle="1" w:styleId="BodyTextRight">
    <w:name w:val="Body Text Right"/>
    <w:basedOn w:val="BodyText"/>
    <w:rsid w:val="00036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1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182"/>
    <w:rPr>
      <w:sz w:val="32"/>
    </w:rPr>
  </w:style>
  <w:style w:type="paragraph" w:customStyle="1" w:styleId="HeadingProcedure">
    <w:name w:val="Heading Procedure"/>
    <w:basedOn w:val="HeadingBase"/>
    <w:next w:val="Normal"/>
    <w:rsid w:val="00036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182"/>
    <w:pPr>
      <w:spacing w:before="60" w:after="60"/>
    </w:pPr>
  </w:style>
  <w:style w:type="paragraph" w:styleId="ListContinue">
    <w:name w:val="List Continue"/>
    <w:basedOn w:val="List"/>
    <w:rsid w:val="00036182"/>
    <w:pPr>
      <w:ind w:firstLine="0"/>
    </w:pPr>
  </w:style>
  <w:style w:type="paragraph" w:customStyle="1" w:styleId="ListNote">
    <w:name w:val="List Note"/>
    <w:basedOn w:val="List"/>
    <w:rsid w:val="00036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182"/>
    <w:rPr>
      <w:rFonts w:ascii="Courier New" w:hAnsi="Courier New"/>
    </w:rPr>
  </w:style>
  <w:style w:type="paragraph" w:customStyle="1" w:styleId="NoteBullet">
    <w:name w:val="Note Bullet"/>
    <w:basedOn w:val="Note"/>
    <w:rsid w:val="00036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1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182"/>
    <w:rPr>
      <w:b/>
      <w:smallCaps/>
    </w:rPr>
  </w:style>
  <w:style w:type="paragraph" w:customStyle="1" w:styleId="TableListNumber">
    <w:name w:val="Table List Number"/>
    <w:basedOn w:val="ListNumber"/>
    <w:rsid w:val="00036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182"/>
    <w:pPr>
      <w:numPr>
        <w:numId w:val="9"/>
      </w:numPr>
    </w:pPr>
  </w:style>
  <w:style w:type="paragraph" w:customStyle="1" w:styleId="ListAlpha2">
    <w:name w:val="List Alpha 2"/>
    <w:basedOn w:val="List2"/>
    <w:rsid w:val="00036182"/>
    <w:pPr>
      <w:numPr>
        <w:numId w:val="8"/>
      </w:numPr>
    </w:pPr>
  </w:style>
  <w:style w:type="paragraph" w:styleId="List2">
    <w:name w:val="List 2"/>
    <w:basedOn w:val="BodyText"/>
    <w:rsid w:val="00036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1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1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6182"/>
    <w:pPr>
      <w:numPr>
        <w:numId w:val="4"/>
      </w:numPr>
    </w:pPr>
  </w:style>
  <w:style w:type="paragraph" w:styleId="ListContinue2">
    <w:name w:val="List Continue 2"/>
    <w:basedOn w:val="List2"/>
    <w:rsid w:val="00036182"/>
    <w:pPr>
      <w:ind w:firstLine="0"/>
    </w:pPr>
  </w:style>
  <w:style w:type="paragraph" w:styleId="ListContinue3">
    <w:name w:val="List Continue 3"/>
    <w:basedOn w:val="List3"/>
    <w:rsid w:val="00036182"/>
    <w:pPr>
      <w:ind w:left="1021" w:firstLine="0"/>
    </w:pPr>
  </w:style>
  <w:style w:type="paragraph" w:styleId="ListContinue4">
    <w:name w:val="List Continue 4"/>
    <w:basedOn w:val="List4"/>
    <w:rsid w:val="00036182"/>
    <w:pPr>
      <w:ind w:firstLine="0"/>
    </w:pPr>
  </w:style>
  <w:style w:type="paragraph" w:styleId="ListContinue5">
    <w:name w:val="List Continue 5"/>
    <w:basedOn w:val="List5"/>
    <w:rsid w:val="00036182"/>
    <w:pPr>
      <w:ind w:firstLine="0"/>
    </w:pPr>
  </w:style>
  <w:style w:type="paragraph" w:styleId="ListNumber3">
    <w:name w:val="List Number 3"/>
    <w:basedOn w:val="List3"/>
    <w:rsid w:val="00036182"/>
    <w:pPr>
      <w:numPr>
        <w:numId w:val="5"/>
      </w:numPr>
    </w:pPr>
  </w:style>
  <w:style w:type="paragraph" w:styleId="ListNumber4">
    <w:name w:val="List Number 4"/>
    <w:basedOn w:val="List4"/>
    <w:rsid w:val="00036182"/>
    <w:pPr>
      <w:numPr>
        <w:numId w:val="6"/>
      </w:numPr>
    </w:pPr>
  </w:style>
  <w:style w:type="paragraph" w:styleId="ListNumber5">
    <w:name w:val="List Number 5"/>
    <w:basedOn w:val="List5"/>
    <w:rsid w:val="00036182"/>
    <w:pPr>
      <w:numPr>
        <w:numId w:val="7"/>
      </w:numPr>
    </w:pPr>
  </w:style>
  <w:style w:type="paragraph" w:styleId="BlockText">
    <w:name w:val="Block Text"/>
    <w:basedOn w:val="Normal"/>
    <w:rsid w:val="00036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182"/>
    <w:rPr>
      <w:sz w:val="16"/>
      <w:vertAlign w:val="superscript"/>
    </w:rPr>
  </w:style>
  <w:style w:type="character" w:customStyle="1" w:styleId="Symbols">
    <w:name w:val="Symbols"/>
    <w:basedOn w:val="DefaultParagraphFont"/>
    <w:rsid w:val="00036182"/>
    <w:rPr>
      <w:rFonts w:ascii="Symbol" w:hAnsi="Symbol"/>
    </w:rPr>
  </w:style>
  <w:style w:type="character" w:customStyle="1" w:styleId="MenuOptions">
    <w:name w:val="Menu Options"/>
    <w:basedOn w:val="DefaultParagraphFont"/>
    <w:rsid w:val="00036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182"/>
    <w:rPr>
      <w:b/>
    </w:rPr>
  </w:style>
  <w:style w:type="character" w:customStyle="1" w:styleId="Underlined">
    <w:name w:val="Underlined"/>
    <w:basedOn w:val="DefaultParagraphFont"/>
    <w:rsid w:val="00036182"/>
    <w:rPr>
      <w:u w:val="single"/>
    </w:rPr>
  </w:style>
  <w:style w:type="paragraph" w:customStyle="1" w:styleId="TableBodyTextRight">
    <w:name w:val="Table Body Text Right"/>
    <w:basedOn w:val="TableBodyText"/>
    <w:rsid w:val="00036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182"/>
    <w:rPr>
      <w:sz w:val="18"/>
    </w:rPr>
  </w:style>
  <w:style w:type="paragraph" w:customStyle="1" w:styleId="BodySmallRight">
    <w:name w:val="Body Small Right"/>
    <w:basedOn w:val="BodyTextRight"/>
    <w:rsid w:val="00036182"/>
    <w:rPr>
      <w:sz w:val="18"/>
      <w:szCs w:val="18"/>
    </w:rPr>
  </w:style>
  <w:style w:type="paragraph" w:customStyle="1" w:styleId="MarginEdition">
    <w:name w:val="Margin Edition"/>
    <w:basedOn w:val="MarginNote"/>
    <w:rsid w:val="00036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182"/>
    <w:rPr>
      <w:sz w:val="2"/>
      <w:szCs w:val="2"/>
    </w:rPr>
  </w:style>
  <w:style w:type="character" w:customStyle="1" w:styleId="Small">
    <w:name w:val="Small"/>
    <w:basedOn w:val="DefaultParagraphFont"/>
    <w:rsid w:val="00036182"/>
    <w:rPr>
      <w:sz w:val="16"/>
    </w:rPr>
  </w:style>
  <w:style w:type="paragraph" w:customStyle="1" w:styleId="WideTable">
    <w:name w:val="Wide Table"/>
    <w:basedOn w:val="Normal"/>
    <w:rsid w:val="00036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182"/>
  </w:style>
  <w:style w:type="paragraph" w:styleId="Quote">
    <w:name w:val="Quote"/>
    <w:basedOn w:val="Heading1"/>
    <w:link w:val="QuoteChar"/>
    <w:qFormat/>
    <w:rsid w:val="00036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182"/>
    <w:pPr>
      <w:pageBreakBefore/>
    </w:pPr>
  </w:style>
  <w:style w:type="paragraph" w:customStyle="1" w:styleId="Border">
    <w:name w:val="Border"/>
    <w:basedOn w:val="Normal"/>
    <w:qFormat/>
    <w:rsid w:val="00036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182"/>
    <w:rPr>
      <w:u w:val="single"/>
    </w:rPr>
  </w:style>
  <w:style w:type="character" w:customStyle="1" w:styleId="BoldandItalics">
    <w:name w:val="Bold and Italics"/>
    <w:qFormat/>
    <w:rsid w:val="00036182"/>
    <w:rPr>
      <w:b/>
      <w:i/>
      <w:u w:val="none"/>
    </w:rPr>
  </w:style>
  <w:style w:type="paragraph" w:styleId="BalloonText">
    <w:name w:val="Balloon Text"/>
    <w:basedOn w:val="Normal"/>
    <w:link w:val="BalloonTextChar"/>
    <w:rsid w:val="00036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182"/>
    <w:pPr>
      <w:spacing w:before="0" w:after="0"/>
    </w:pPr>
  </w:style>
  <w:style w:type="paragraph" w:customStyle="1" w:styleId="BodyTextBold">
    <w:name w:val="Body Text Bold"/>
    <w:basedOn w:val="BodyText"/>
    <w:qFormat/>
    <w:rsid w:val="00036182"/>
    <w:rPr>
      <w:b/>
    </w:rPr>
  </w:style>
  <w:style w:type="character" w:styleId="Hyperlink">
    <w:name w:val="Hyperlink"/>
    <w:basedOn w:val="DefaultParagraphFont"/>
    <w:uiPriority w:val="99"/>
    <w:unhideWhenUsed/>
    <w:rsid w:val="00A42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4782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MEM23126 Evaluate industrial robotic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2023-02-03T08:17:00Z</dcterms:created>
  <dcterms:modified xsi:type="dcterms:W3CDTF">2023-02-03T08:17:00Z</dcterms:modified>
</cp:coreProperties>
</file>