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46" w:rsidP="00984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MEM23124 Measure and analyse noise and vibration</w:t>
      </w:r>
      <w:r>
        <w:fldChar w:fldCharType="end"/>
      </w:r>
    </w:p>
    <w:p w:rsidR="00984646" w:rsidP="00984646">
      <w:pPr>
        <w:pStyle w:val="Version"/>
        <w:sectPr w:rsidSect="00FB7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8BF" w:rsidP="00FB78BF">
      <w:pPr>
        <w:pStyle w:val="SuperHeading"/>
      </w:pPr>
      <w:r w:rsidRPr="00FB78BF">
        <w:t>Assessment Requirements for MEM23124 Measure and analyse noise and vibration</w:t>
      </w:r>
    </w:p>
    <w:p w:rsidR="00000000" w:rsidRPr="00FB78BF" w:rsidP="00FB78BF">
      <w:pPr>
        <w:pStyle w:val="Heading1"/>
      </w:pPr>
      <w:bookmarkStart w:id="1" w:name="O_944204"/>
      <w:bookmarkEnd w:id="1"/>
      <w:r w:rsidRPr="00FB78BF">
        <w:t>Modification History</w:t>
      </w:r>
    </w:p>
    <w:p w:rsidR="00984646" w:rsidP="00984646">
      <w:pPr>
        <w:pStyle w:val="BodyText"/>
      </w:pPr>
      <w:r w:rsidRPr="00FB78BF">
        <w:t>Release 1. Supersedes and is equivalent to MEM23124A Measure and analyse noise and vibration.</w:t>
      </w:r>
    </w:p>
    <w:p w:rsidR="00000000" w:rsidRPr="00FB78BF" w:rsidP="00FB78BF">
      <w:pPr>
        <w:pStyle w:val="Heading1"/>
      </w:pPr>
      <w:bookmarkStart w:id="2" w:name="O_944207"/>
      <w:bookmarkEnd w:id="2"/>
      <w:r w:rsidRPr="00FB78BF">
        <w:t>Performance Evidence</w:t>
      </w:r>
    </w:p>
    <w:p w:rsidR="00000000" w:rsidRPr="00FB78BF" w:rsidP="00984646">
      <w:pPr>
        <w:pStyle w:val="BodyText"/>
      </w:pPr>
      <w:r w:rsidRPr="00FB78BF">
        <w:t>Evidence required to demonstrate competence in this unit must be relevant to and satisfy the requirements of the elements and performance criteria and include:</w:t>
      </w:r>
    </w:p>
    <w:p w:rsidR="00000000" w:rsidRPr="00FB78BF" w:rsidP="00FB78BF">
      <w:pPr>
        <w:pStyle w:val="ListBullet"/>
      </w:pPr>
      <w:r w:rsidRPr="00FB78BF">
        <w:t>determining compliance with work health and safety (WHS), regulatory and risk management requir</w:t>
      </w:r>
      <w:r w:rsidRPr="00FB78BF">
        <w:t>ements with an emphasis on automation safety</w:t>
      </w:r>
    </w:p>
    <w:p w:rsidR="00000000" w:rsidRPr="00FB78BF" w:rsidP="00FB78BF">
      <w:pPr>
        <w:pStyle w:val="ListBullet"/>
      </w:pPr>
      <w:r w:rsidRPr="00FB78BF">
        <w:t>reviewing the physics of sound and vibration, effects of noise, vibration and shock on humans</w:t>
      </w:r>
    </w:p>
    <w:p w:rsidR="00000000" w:rsidRPr="00FB78BF" w:rsidP="00FB78BF">
      <w:pPr>
        <w:pStyle w:val="ListBullet"/>
      </w:pPr>
      <w:r w:rsidRPr="00FB78BF">
        <w:t>determining measuring equipment and options for mitigation measures</w:t>
      </w:r>
    </w:p>
    <w:p w:rsidR="00000000" w:rsidRPr="00FB78BF" w:rsidP="00FB78BF">
      <w:pPr>
        <w:pStyle w:val="ListBullet"/>
      </w:pPr>
      <w:r w:rsidRPr="00FB78BF">
        <w:t>identifying noise and vibration, noise dose and v</w:t>
      </w:r>
      <w:r w:rsidRPr="00FB78BF">
        <w:t>ibration exposure limits</w:t>
      </w:r>
    </w:p>
    <w:p w:rsidR="00000000" w:rsidRPr="00FB78BF" w:rsidP="00FB78BF">
      <w:pPr>
        <w:pStyle w:val="ListBullet"/>
      </w:pPr>
      <w:r w:rsidRPr="00FB78BF">
        <w:t>selecting appropriate measuring equipment for measuring task</w:t>
      </w:r>
    </w:p>
    <w:p w:rsidR="00000000" w:rsidRPr="00FB78BF" w:rsidP="00FB78BF">
      <w:pPr>
        <w:pStyle w:val="ListBullet"/>
      </w:pPr>
      <w:r w:rsidRPr="00FB78BF">
        <w:t>calibrating, siting and setting up equipment prior to use</w:t>
      </w:r>
    </w:p>
    <w:p w:rsidR="00000000" w:rsidRPr="00FB78BF" w:rsidP="00FB78BF">
      <w:pPr>
        <w:pStyle w:val="ListBullet"/>
      </w:pPr>
      <w:r w:rsidRPr="00FB78BF">
        <w:t>measuring and recording noise and vibration on at least two occasions</w:t>
      </w:r>
    </w:p>
    <w:p w:rsidR="00000000" w:rsidRPr="00FB78BF" w:rsidP="00FB78BF">
      <w:pPr>
        <w:pStyle w:val="ListBullet"/>
      </w:pPr>
      <w:r w:rsidRPr="00FB78BF">
        <w:t>analysing and interpreting measurement res</w:t>
      </w:r>
      <w:r w:rsidRPr="00FB78BF">
        <w:t>ults</w:t>
      </w:r>
    </w:p>
    <w:p w:rsidR="00000000" w:rsidRPr="00FB78BF" w:rsidP="00FB78BF">
      <w:pPr>
        <w:pStyle w:val="ListBullet"/>
      </w:pPr>
      <w:r w:rsidRPr="00FB78BF">
        <w:t xml:space="preserve">relating data to plant and equipment performance </w:t>
      </w:r>
    </w:p>
    <w:p w:rsidR="00000000" w:rsidRPr="00FB78BF" w:rsidP="00FB78BF">
      <w:pPr>
        <w:pStyle w:val="ListBullet"/>
      </w:pPr>
      <w:r w:rsidRPr="00FB78BF">
        <w:t>recommending noise and vibration elimination, mitigation and protection measures on at least two occasions</w:t>
      </w:r>
    </w:p>
    <w:p w:rsidR="00000000" w:rsidRPr="00FB78BF" w:rsidP="00FB78BF">
      <w:pPr>
        <w:pStyle w:val="ListBullet"/>
      </w:pPr>
      <w:r w:rsidRPr="00FB78BF">
        <w:t>applying systems thinking, continuous improvement, problem-solving, constraint and contingency</w:t>
      </w:r>
      <w:r w:rsidRPr="00FB78BF">
        <w:t xml:space="preserve"> management</w:t>
      </w:r>
    </w:p>
    <w:p w:rsidR="00000000" w:rsidRPr="00FB78BF" w:rsidP="00FB78BF">
      <w:pPr>
        <w:pStyle w:val="ListBullet"/>
      </w:pPr>
      <w:r w:rsidRPr="00FB78BF">
        <w:t>investigating sustainability implications, developments in acoustic, vibration and shock measurement, and condition monitoring in predictive maintenance programs</w:t>
      </w:r>
    </w:p>
    <w:p w:rsidR="00000000" w:rsidRPr="00FB78BF" w:rsidP="00FB78BF">
      <w:pPr>
        <w:pStyle w:val="ListBullet"/>
      </w:pPr>
      <w:r w:rsidRPr="00FB78BF">
        <w:t>reporting and documenting results of reviews, measurement, data, analysis, calcula</w:t>
      </w:r>
      <w:r w:rsidRPr="00FB78BF">
        <w:t>tions, interpretations and recommendations.</w:t>
      </w:r>
    </w:p>
    <w:p w:rsidR="00984646" w:rsidP="00984646">
      <w:pPr>
        <w:pStyle w:val="BodyText"/>
      </w:pPr>
      <w:r w:rsidRPr="00FB78BF">
        <w:t>Note: Where a volume and/or frequency is not specified, demonstration must be provided at least once.</w:t>
      </w:r>
    </w:p>
    <w:p w:rsidR="00000000" w:rsidRPr="00FB78BF" w:rsidP="00FB78BF">
      <w:pPr>
        <w:pStyle w:val="Heading1"/>
      </w:pPr>
      <w:bookmarkStart w:id="3" w:name="O_944206"/>
      <w:bookmarkEnd w:id="3"/>
      <w:r w:rsidRPr="00FB78BF">
        <w:t>Knowledge Evidence</w:t>
      </w:r>
    </w:p>
    <w:p w:rsidR="00000000" w:rsidRPr="00FB78BF" w:rsidP="00984646">
      <w:pPr>
        <w:pStyle w:val="BodyText"/>
      </w:pPr>
      <w:r w:rsidRPr="00FB78BF">
        <w:t>Evidence required to demonstrate the required knowledge for this unit must be relevant to and satisfy the requirements of the elements and performance criteria and include knowledge of:</w:t>
      </w:r>
    </w:p>
    <w:p w:rsidR="00000000" w:rsidRPr="00FB78BF" w:rsidP="00FB78BF">
      <w:pPr>
        <w:pStyle w:val="ListBullet"/>
      </w:pPr>
      <w:r w:rsidRPr="00FB78BF">
        <w:t>characteristics and measurement of noise and vibration, and sources o</w:t>
      </w:r>
      <w:r w:rsidRPr="00FB78BF">
        <w:t>f noise and vibration</w:t>
      </w:r>
    </w:p>
    <w:p w:rsidR="00000000" w:rsidRPr="00FB78BF" w:rsidP="00FB78BF">
      <w:pPr>
        <w:pStyle w:val="ListBullet"/>
      </w:pPr>
      <w:r w:rsidRPr="00FB78BF">
        <w:t>purpose of noise and vibration measurement</w:t>
      </w:r>
    </w:p>
    <w:p w:rsidR="00000000" w:rsidRPr="00FB78BF" w:rsidP="00FB78BF">
      <w:pPr>
        <w:pStyle w:val="ListBullet"/>
      </w:pPr>
      <w:r w:rsidRPr="00FB78BF">
        <w:t>noise and vibration concepts and terminology</w:t>
      </w:r>
    </w:p>
    <w:p w:rsidR="00000000" w:rsidRPr="00FB78BF" w:rsidP="00FB78BF">
      <w:pPr>
        <w:pStyle w:val="ListBullet"/>
      </w:pPr>
      <w:r w:rsidRPr="00FB78BF">
        <w:t>International Standards Organisation (ISO) and other vibration severity standards</w:t>
      </w:r>
    </w:p>
    <w:p w:rsidR="00000000" w:rsidRPr="00FB78BF" w:rsidP="00FB78BF">
      <w:pPr>
        <w:pStyle w:val="ListBullet"/>
      </w:pPr>
      <w:r w:rsidRPr="00FB78BF">
        <w:t>limitations of broadband vibration and trend analysis</w:t>
      </w:r>
    </w:p>
    <w:p w:rsidR="00000000" w:rsidRPr="00FB78BF" w:rsidP="00FB78BF">
      <w:pPr>
        <w:pStyle w:val="ListBullet"/>
      </w:pPr>
      <w:r w:rsidRPr="00FB78BF">
        <w:t>principles</w:t>
      </w:r>
      <w:r w:rsidRPr="00FB78BF">
        <w:t xml:space="preserve"> of using vibration analysis as an indicator of machine and equipment condition</w:t>
      </w:r>
    </w:p>
    <w:p w:rsidR="00000000" w:rsidRPr="00FB78BF" w:rsidP="00FB78BF">
      <w:pPr>
        <w:pStyle w:val="ListBullet"/>
      </w:pPr>
      <w:r w:rsidRPr="00FB78BF">
        <w:t>causes and effects of vibration and noise in industrial and commercial equipment, including damaged product, limited processing speeds and catastrophic machine failure</w:t>
      </w:r>
    </w:p>
    <w:p w:rsidR="00000000" w:rsidRPr="00FB78BF" w:rsidP="00FB78BF">
      <w:pPr>
        <w:pStyle w:val="ListBullet"/>
      </w:pPr>
      <w:r w:rsidRPr="00FB78BF">
        <w:t xml:space="preserve">typical </w:t>
      </w:r>
      <w:r w:rsidRPr="00FB78BF">
        <w:t>engineering components subject to vibration</w:t>
      </w:r>
    </w:p>
    <w:p w:rsidR="00000000" w:rsidRPr="00FB78BF" w:rsidP="00FB78BF">
      <w:pPr>
        <w:pStyle w:val="ListBullet"/>
      </w:pPr>
      <w:r w:rsidRPr="00FB78BF">
        <w:t>relevant WHS and regulatory requirements, codes of practice, standards, risk minimisation and registration requirements</w:t>
      </w:r>
    </w:p>
    <w:p w:rsidR="00000000" w:rsidRPr="00FB78BF" w:rsidP="00FB78BF">
      <w:pPr>
        <w:pStyle w:val="ListBullet"/>
      </w:pPr>
      <w:r w:rsidRPr="00FB78BF">
        <w:t>calculations, formulae and laws relating to vibration and sound measurement, including allow</w:t>
      </w:r>
      <w:r w:rsidRPr="00FB78BF">
        <w:t>able exposure using AS 2670.1 Evaluation of human exposure to whole-body vibration, Part 1: General requirements</w:t>
      </w:r>
    </w:p>
    <w:p w:rsidR="00000000" w:rsidRPr="00FB78BF" w:rsidP="00FB78BF">
      <w:pPr>
        <w:pStyle w:val="ListBullet"/>
      </w:pPr>
      <w:r w:rsidRPr="00FB78BF">
        <w:t>range and capacity of equipment for measuring vibration and sound</w:t>
      </w:r>
    </w:p>
    <w:p w:rsidR="00000000" w:rsidRPr="00FB78BF" w:rsidP="00FB78BF">
      <w:pPr>
        <w:pStyle w:val="ListBullet"/>
      </w:pPr>
      <w:r w:rsidRPr="00FB78BF">
        <w:t>noise measurement and testing techniques and equipment for different environm</w:t>
      </w:r>
      <w:r w:rsidRPr="00FB78BF">
        <w:t>ents and sound characteristics in vibration measurement and testing</w:t>
      </w:r>
    </w:p>
    <w:p w:rsidR="00000000" w:rsidRPr="00FB78BF" w:rsidP="00FB78BF">
      <w:pPr>
        <w:pStyle w:val="ListBullet"/>
      </w:pPr>
      <w:r w:rsidRPr="00FB78BF">
        <w:t>acoustic emission in vibration measurement and testing</w:t>
      </w:r>
    </w:p>
    <w:p w:rsidR="00000000" w:rsidRPr="00FB78BF" w:rsidP="00FB78BF">
      <w:pPr>
        <w:pStyle w:val="ListBullet"/>
      </w:pPr>
      <w:r w:rsidRPr="00FB78BF">
        <w:t xml:space="preserve">shock testing, including applications requiring laboratory testing </w:t>
      </w:r>
    </w:p>
    <w:p w:rsidR="00000000" w:rsidRPr="00FB78BF" w:rsidP="00FB78BF">
      <w:pPr>
        <w:pStyle w:val="ListBullet"/>
      </w:pPr>
      <w:r w:rsidRPr="00FB78BF">
        <w:t>vibration trend analysis</w:t>
      </w:r>
    </w:p>
    <w:p w:rsidR="00000000" w:rsidRPr="00FB78BF" w:rsidP="00FB78BF">
      <w:pPr>
        <w:pStyle w:val="ListBullet"/>
      </w:pPr>
      <w:r w:rsidRPr="00FB78BF">
        <w:t>noise and vibration concepts including v</w:t>
      </w:r>
      <w:r w:rsidRPr="00FB78BF">
        <w:t>ibration, noise, transmission of noise and vibration and harmonic excitation</w:t>
      </w:r>
    </w:p>
    <w:p w:rsidR="00000000" w:rsidRPr="00FB78BF" w:rsidP="00FB78BF">
      <w:pPr>
        <w:pStyle w:val="ListBullet"/>
      </w:pPr>
      <w:r w:rsidRPr="00FB78BF">
        <w:t xml:space="preserve">common sources of noise generation </w:t>
      </w:r>
    </w:p>
    <w:p w:rsidR="00000000" w:rsidRPr="00FB78BF" w:rsidP="00FB78BF">
      <w:pPr>
        <w:pStyle w:val="ListBullet"/>
      </w:pPr>
      <w:r w:rsidRPr="00FB78BF">
        <w:t>noise mitigation and protection measures including:</w:t>
      </w:r>
    </w:p>
    <w:p w:rsidR="00000000" w:rsidRPr="00FB78BF" w:rsidP="00FB78BF">
      <w:pPr>
        <w:pStyle w:val="ListBullet2"/>
      </w:pPr>
      <w:r w:rsidRPr="00FB78BF">
        <w:t>isolation</w:t>
      </w:r>
    </w:p>
    <w:p w:rsidR="00000000" w:rsidRPr="00FB78BF" w:rsidP="00FB78BF">
      <w:pPr>
        <w:pStyle w:val="ListBullet2"/>
      </w:pPr>
      <w:r w:rsidRPr="00FB78BF">
        <w:t>insulation</w:t>
      </w:r>
    </w:p>
    <w:p w:rsidR="00000000" w:rsidRPr="00FB78BF" w:rsidP="00FB78BF">
      <w:pPr>
        <w:pStyle w:val="ListBullet2"/>
      </w:pPr>
      <w:r w:rsidRPr="00FB78BF">
        <w:t>personal hearing protection</w:t>
      </w:r>
    </w:p>
    <w:p w:rsidR="00000000" w:rsidRPr="00FB78BF" w:rsidP="00FB78BF">
      <w:pPr>
        <w:pStyle w:val="ListBullet2"/>
      </w:pPr>
      <w:r w:rsidRPr="00FB78BF">
        <w:t>exposure limitation policies</w:t>
      </w:r>
    </w:p>
    <w:p w:rsidR="00000000" w:rsidRPr="00FB78BF" w:rsidP="00FB78BF">
      <w:pPr>
        <w:pStyle w:val="ListBullet"/>
      </w:pPr>
      <w:r w:rsidRPr="00FB78BF">
        <w:t xml:space="preserve">vibration and shock control equipment and techniques </w:t>
      </w:r>
    </w:p>
    <w:p w:rsidR="00000000" w:rsidRPr="00FB78BF" w:rsidP="00FB78BF">
      <w:pPr>
        <w:pStyle w:val="ListBullet"/>
      </w:pPr>
      <w:r w:rsidRPr="00FB78BF">
        <w:t>community noise</w:t>
      </w:r>
    </w:p>
    <w:p w:rsidR="00000000" w:rsidRPr="00FB78BF" w:rsidP="00FB78BF">
      <w:pPr>
        <w:pStyle w:val="ListBullet"/>
      </w:pPr>
      <w:r w:rsidRPr="00FB78BF">
        <w:t>noise and vibration measurement and analysis applications including:</w:t>
      </w:r>
    </w:p>
    <w:p w:rsidR="00000000" w:rsidRPr="00FB78BF" w:rsidP="00FB78BF">
      <w:pPr>
        <w:pStyle w:val="ListBullet2"/>
      </w:pPr>
      <w:r w:rsidRPr="00FB78BF">
        <w:t>condition monitoring for plant</w:t>
      </w:r>
    </w:p>
    <w:p w:rsidR="00000000" w:rsidRPr="00FB78BF" w:rsidP="00FB78BF">
      <w:pPr>
        <w:pStyle w:val="ListBullet2"/>
      </w:pPr>
      <w:r w:rsidRPr="00FB78BF">
        <w:t>acoustic emissions for fault detection</w:t>
      </w:r>
    </w:p>
    <w:p w:rsidR="00000000" w:rsidRPr="00FB78BF" w:rsidP="00FB78BF">
      <w:pPr>
        <w:pStyle w:val="ListBullet2"/>
      </w:pPr>
      <w:r w:rsidRPr="00FB78BF">
        <w:t>modal analysis of dynamic properties of struct</w:t>
      </w:r>
      <w:r w:rsidRPr="00FB78BF">
        <w:t>ures or room acoustics</w:t>
      </w:r>
    </w:p>
    <w:p w:rsidR="00000000" w:rsidRPr="00FB78BF" w:rsidP="00FB78BF">
      <w:pPr>
        <w:pStyle w:val="ListBullet2"/>
      </w:pPr>
      <w:r w:rsidRPr="00FB78BF">
        <w:t>correlation of modal analysis with finite element analysis (FEA)</w:t>
      </w:r>
    </w:p>
    <w:p w:rsidR="00000000" w:rsidRPr="00FB78BF" w:rsidP="00FB78BF">
      <w:pPr>
        <w:pStyle w:val="ListBullet2"/>
      </w:pPr>
      <w:r w:rsidRPr="00FB78BF">
        <w:t>statistical energy analysis</w:t>
      </w:r>
    </w:p>
    <w:p w:rsidR="00000000" w:rsidRPr="00FB78BF" w:rsidP="00FB78BF">
      <w:pPr>
        <w:pStyle w:val="ListBullet"/>
      </w:pPr>
      <w:r w:rsidRPr="00FB78BF">
        <w:t>safe work practices and procedures and use and application of personal protective equipment (PPE)</w:t>
      </w:r>
    </w:p>
    <w:p w:rsidR="00984646" w:rsidP="00FB78BF">
      <w:pPr>
        <w:pStyle w:val="ListBullet"/>
      </w:pPr>
      <w:r w:rsidRPr="00FB78BF">
        <w:t>hazards and control measures associated w</w:t>
      </w:r>
      <w:r w:rsidRPr="00FB78BF">
        <w:t>ith measuring and analysing noise and vibration, including housekeeping.</w:t>
      </w:r>
    </w:p>
    <w:p w:rsidR="00984646" w:rsidP="00FB78BF">
      <w:pPr>
        <w:pStyle w:val="ListBullet"/>
      </w:pPr>
    </w:p>
    <w:p w:rsidR="00000000" w:rsidRPr="00FB78BF" w:rsidP="00FB78BF">
      <w:pPr>
        <w:pStyle w:val="Heading1"/>
      </w:pPr>
      <w:bookmarkStart w:id="4" w:name="O_944205"/>
      <w:bookmarkEnd w:id="4"/>
      <w:r w:rsidRPr="00FB78BF">
        <w:t>Assessment Conditions</w:t>
      </w:r>
    </w:p>
    <w:p w:rsidR="00000000" w:rsidRPr="00FB78BF" w:rsidP="00FB78BF">
      <w:pPr>
        <w:pStyle w:val="ListBullet"/>
      </w:pPr>
      <w:r w:rsidRPr="00FB78BF">
        <w:t>Assessors must:</w:t>
      </w:r>
    </w:p>
    <w:p w:rsidR="00000000" w:rsidRPr="00FB78BF" w:rsidP="00FB78BF">
      <w:pPr>
        <w:pStyle w:val="ListBullet2"/>
      </w:pPr>
      <w:r w:rsidRPr="00FB78BF">
        <w:t xml:space="preserve">have vocational competency in measuring and analysing noise and vibration at least to the level </w:t>
      </w:r>
      <w:r w:rsidRPr="00FB78BF">
        <w:t>being assessed with relevant industry knowledge and experience</w:t>
      </w:r>
    </w:p>
    <w:p w:rsidR="00000000" w:rsidRPr="00FB78BF" w:rsidP="00FB78BF">
      <w:pPr>
        <w:pStyle w:val="ListBullet2"/>
      </w:pPr>
      <w:r w:rsidRPr="00FB78BF">
        <w:t xml:space="preserve">satisfy the assessor requirements in the </w:t>
      </w:r>
      <w:r w:rsidRPr="00FB78BF">
        <w:rPr>
          <w:rStyle w:val="Emphasis"/>
        </w:rPr>
        <w:t xml:space="preserve">Standards for Registered Training Organisations 2015 or its replacement </w:t>
      </w:r>
      <w:r w:rsidRPr="00FB78BF">
        <w:t xml:space="preserve">and comply with the </w:t>
      </w:r>
      <w:r w:rsidRPr="00FB78BF">
        <w:rPr>
          <w:rStyle w:val="Emphasis"/>
        </w:rPr>
        <w:t>National Vocational Education and Training Regulator Act 201</w:t>
      </w:r>
      <w:r w:rsidRPr="00FB78BF">
        <w:rPr>
          <w:rStyle w:val="Emphasis"/>
        </w:rPr>
        <w:t xml:space="preserve">1, </w:t>
      </w:r>
      <w:r w:rsidRPr="00FB78BF">
        <w:t>its replacement</w:t>
      </w:r>
      <w:r w:rsidRPr="00FB78BF">
        <w:rPr>
          <w:rStyle w:val="Emphasis"/>
        </w:rPr>
        <w:t xml:space="preserve"> </w:t>
      </w:r>
      <w:r w:rsidRPr="00FB78BF">
        <w:t>or equivalent legislation covering VET regulation in a non-referring state/territory as the case requires.</w:t>
      </w:r>
    </w:p>
    <w:p w:rsidR="00000000" w:rsidRPr="00FB78BF" w:rsidP="00FB78BF">
      <w:pPr>
        <w:pStyle w:val="ListBullet"/>
      </w:pPr>
      <w:r w:rsidRPr="00FB78BF">
        <w:t xml:space="preserve">Where possible assessment must occur in operational workplace situations. Where this is not possible or where personal safety or </w:t>
      </w:r>
      <w:r w:rsidRPr="00FB78BF">
        <w:t xml:space="preserve">environmental damage are limiting factors, assessment must occur in a sufficiently rigorous simulated environment that reflects realistic operational workplace conditions that cover all aspects of workplace performance, including environment, task skills, </w:t>
      </w:r>
      <w:r w:rsidRPr="00FB78BF">
        <w:t>task management skills, contingency management skills and job role environment skills.</w:t>
      </w:r>
    </w:p>
    <w:p w:rsidR="00000000" w:rsidRPr="00FB78BF" w:rsidP="00FB78BF">
      <w:pPr>
        <w:pStyle w:val="ListBullet"/>
      </w:pPr>
      <w:r w:rsidRPr="00FB78BF">
        <w:t>Conditions for assessment must include access to all tools, equipment, materials and documentation required including relevant workplace procedures, product and manufact</w:t>
      </w:r>
      <w:r w:rsidRPr="00FB78BF">
        <w:t>uring specifications.</w:t>
      </w:r>
    </w:p>
    <w:p w:rsidR="00984646" w:rsidP="00FB78BF">
      <w:pPr>
        <w:pStyle w:val="ListBullet"/>
      </w:pPr>
      <w:r w:rsidRPr="00FB78BF">
        <w:t>Assessment processes and techniques must be appropriate to the language, literacy and numeracy requirements of the work being performed and the needs of the candidate.</w:t>
      </w:r>
    </w:p>
    <w:p w:rsidR="00984646" w:rsidP="00FB78BF">
      <w:pPr>
        <w:pStyle w:val="ListBullet"/>
      </w:pPr>
    </w:p>
    <w:p w:rsidR="00000000" w:rsidRPr="00FB78BF" w:rsidP="00FB78BF">
      <w:pPr>
        <w:pStyle w:val="Heading1"/>
      </w:pPr>
      <w:bookmarkStart w:id="5" w:name="O_944203"/>
      <w:bookmarkEnd w:id="5"/>
      <w:r w:rsidRPr="00FB78BF">
        <w:t>Links</w:t>
      </w:r>
    </w:p>
    <w:p w:rsidR="00000000" w:rsidRPr="00FB78BF" w:rsidP="00984646">
      <w:pPr>
        <w:pStyle w:val="BodyText"/>
      </w:pPr>
      <w:r w:rsidRPr="00FB78BF">
        <w:t>Companion Volume implementation guides are</w:t>
      </w:r>
      <w:r w:rsidRPr="00FB78BF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36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78BF" w:rsidP="00FB78BF"/>
    <w:sectPr w:rsidSect="00FB7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F" w:rsidRPr="00984646" w:rsidP="00984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46" w:rsidP="00FB7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646" w:rsidP="00FB7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4646" w:rsidP="00FB7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8BF" w:rsidRPr="00984646" w:rsidP="00984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46" w:rsidRPr="002D2AF8" w:rsidP="00FB7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MEM23124 Measure and analyse noise and vibration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84646" w:rsidP="00FB7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06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6F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2E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8BF"/>
  </w:style>
  <w:style w:type="character" w:customStyle="1" w:styleId="Heading1Char">
    <w:name w:val="Heading 1 Char"/>
    <w:basedOn w:val="DefaultParagraphFont"/>
    <w:link w:val="Heading1"/>
    <w:rsid w:val="00FB7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8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8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8BF"/>
    <w:rPr>
      <w:i/>
    </w:rPr>
  </w:style>
  <w:style w:type="paragraph" w:customStyle="1" w:styleId="SuperHeading">
    <w:name w:val="SuperHeading"/>
    <w:basedOn w:val="Normal"/>
    <w:rsid w:val="00FB7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8BF"/>
    <w:rPr>
      <w:b/>
      <w:spacing w:val="0"/>
    </w:rPr>
  </w:style>
  <w:style w:type="paragraph" w:customStyle="1" w:styleId="SuperTitle">
    <w:name w:val="SuperTitle"/>
    <w:basedOn w:val="Title"/>
    <w:rsid w:val="00FB7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8BF"/>
  </w:style>
  <w:style w:type="paragraph" w:styleId="TableofFigures">
    <w:name w:val="table of figures"/>
    <w:basedOn w:val="Normal"/>
    <w:next w:val="Normal"/>
    <w:semiHidden/>
    <w:rsid w:val="00FB7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8BF"/>
    <w:rPr>
      <w:rFonts w:ascii="Wingdings" w:hAnsi="Wingdings"/>
    </w:rPr>
  </w:style>
  <w:style w:type="paragraph" w:customStyle="1" w:styleId="TableHeading">
    <w:name w:val="Table Heading"/>
    <w:basedOn w:val="HeadingBase"/>
    <w:rsid w:val="00FB7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8BF"/>
    <w:rPr>
      <w:color w:val="0033CC"/>
      <w:u w:val="none"/>
    </w:rPr>
  </w:style>
  <w:style w:type="paragraph" w:customStyle="1" w:styleId="BodyTextRight">
    <w:name w:val="Body Text Right"/>
    <w:basedOn w:val="BodyText"/>
    <w:rsid w:val="00FB7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8BF"/>
    <w:rPr>
      <w:sz w:val="32"/>
    </w:rPr>
  </w:style>
  <w:style w:type="paragraph" w:customStyle="1" w:styleId="HeadingProcedure">
    <w:name w:val="Heading Procedure"/>
    <w:basedOn w:val="HeadingBase"/>
    <w:next w:val="Normal"/>
    <w:rsid w:val="00FB7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8BF"/>
    <w:pPr>
      <w:spacing w:before="60" w:after="60"/>
    </w:pPr>
  </w:style>
  <w:style w:type="paragraph" w:styleId="ListContinue">
    <w:name w:val="List Continue"/>
    <w:basedOn w:val="List"/>
    <w:rsid w:val="00FB78BF"/>
    <w:pPr>
      <w:ind w:firstLine="0"/>
    </w:pPr>
  </w:style>
  <w:style w:type="paragraph" w:customStyle="1" w:styleId="ListNote">
    <w:name w:val="List Note"/>
    <w:basedOn w:val="List"/>
    <w:rsid w:val="00FB7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8BF"/>
    <w:rPr>
      <w:rFonts w:ascii="Courier New" w:hAnsi="Courier New"/>
    </w:rPr>
  </w:style>
  <w:style w:type="paragraph" w:customStyle="1" w:styleId="NoteBullet">
    <w:name w:val="Note Bullet"/>
    <w:basedOn w:val="Note"/>
    <w:rsid w:val="00FB7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8BF"/>
    <w:rPr>
      <w:b/>
      <w:smallCaps/>
    </w:rPr>
  </w:style>
  <w:style w:type="paragraph" w:customStyle="1" w:styleId="TableListNumber">
    <w:name w:val="Table List Number"/>
    <w:basedOn w:val="ListNumber"/>
    <w:rsid w:val="00FB7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8BF"/>
    <w:pPr>
      <w:numPr>
        <w:numId w:val="9"/>
      </w:numPr>
    </w:pPr>
  </w:style>
  <w:style w:type="paragraph" w:customStyle="1" w:styleId="ListAlpha2">
    <w:name w:val="List Alpha 2"/>
    <w:basedOn w:val="List2"/>
    <w:rsid w:val="00FB78BF"/>
    <w:pPr>
      <w:numPr>
        <w:numId w:val="8"/>
      </w:numPr>
    </w:pPr>
  </w:style>
  <w:style w:type="paragraph" w:styleId="List2">
    <w:name w:val="List 2"/>
    <w:basedOn w:val="BodyText"/>
    <w:rsid w:val="00FB7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8BF"/>
    <w:pPr>
      <w:numPr>
        <w:numId w:val="4"/>
      </w:numPr>
    </w:pPr>
  </w:style>
  <w:style w:type="paragraph" w:styleId="ListContinue2">
    <w:name w:val="List Continue 2"/>
    <w:basedOn w:val="List2"/>
    <w:rsid w:val="00FB78BF"/>
    <w:pPr>
      <w:ind w:firstLine="0"/>
    </w:pPr>
  </w:style>
  <w:style w:type="paragraph" w:styleId="ListContinue3">
    <w:name w:val="List Continue 3"/>
    <w:basedOn w:val="List3"/>
    <w:rsid w:val="00FB78BF"/>
    <w:pPr>
      <w:ind w:left="1021" w:firstLine="0"/>
    </w:pPr>
  </w:style>
  <w:style w:type="paragraph" w:styleId="ListContinue4">
    <w:name w:val="List Continue 4"/>
    <w:basedOn w:val="List4"/>
    <w:rsid w:val="00FB78BF"/>
    <w:pPr>
      <w:ind w:firstLine="0"/>
    </w:pPr>
  </w:style>
  <w:style w:type="paragraph" w:styleId="ListContinue5">
    <w:name w:val="List Continue 5"/>
    <w:basedOn w:val="List5"/>
    <w:rsid w:val="00FB78BF"/>
    <w:pPr>
      <w:ind w:firstLine="0"/>
    </w:pPr>
  </w:style>
  <w:style w:type="paragraph" w:styleId="ListNumber3">
    <w:name w:val="List Number 3"/>
    <w:basedOn w:val="List3"/>
    <w:rsid w:val="00FB78BF"/>
    <w:pPr>
      <w:numPr>
        <w:numId w:val="5"/>
      </w:numPr>
    </w:pPr>
  </w:style>
  <w:style w:type="paragraph" w:styleId="ListNumber4">
    <w:name w:val="List Number 4"/>
    <w:basedOn w:val="List4"/>
    <w:rsid w:val="00FB78BF"/>
    <w:pPr>
      <w:numPr>
        <w:numId w:val="6"/>
      </w:numPr>
    </w:pPr>
  </w:style>
  <w:style w:type="paragraph" w:styleId="ListNumber5">
    <w:name w:val="List Number 5"/>
    <w:basedOn w:val="List5"/>
    <w:rsid w:val="00FB78BF"/>
    <w:pPr>
      <w:numPr>
        <w:numId w:val="7"/>
      </w:numPr>
    </w:pPr>
  </w:style>
  <w:style w:type="paragraph" w:styleId="BlockText">
    <w:name w:val="Block Text"/>
    <w:basedOn w:val="Normal"/>
    <w:rsid w:val="00FB7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8BF"/>
    <w:rPr>
      <w:sz w:val="16"/>
      <w:vertAlign w:val="superscript"/>
    </w:rPr>
  </w:style>
  <w:style w:type="character" w:customStyle="1" w:styleId="Symbols">
    <w:name w:val="Symbols"/>
    <w:basedOn w:val="DefaultParagraphFont"/>
    <w:rsid w:val="00FB78BF"/>
    <w:rPr>
      <w:rFonts w:ascii="Symbol" w:hAnsi="Symbol"/>
    </w:rPr>
  </w:style>
  <w:style w:type="character" w:customStyle="1" w:styleId="MenuOptions">
    <w:name w:val="Menu Options"/>
    <w:basedOn w:val="DefaultParagraphFont"/>
    <w:rsid w:val="00FB7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8BF"/>
    <w:rPr>
      <w:b/>
    </w:rPr>
  </w:style>
  <w:style w:type="character" w:customStyle="1" w:styleId="Underlined">
    <w:name w:val="Underlined"/>
    <w:basedOn w:val="DefaultParagraphFont"/>
    <w:rsid w:val="00FB78BF"/>
    <w:rPr>
      <w:u w:val="single"/>
    </w:rPr>
  </w:style>
  <w:style w:type="paragraph" w:customStyle="1" w:styleId="TableBodyTextRight">
    <w:name w:val="Table Body Text Right"/>
    <w:basedOn w:val="TableBodyText"/>
    <w:rsid w:val="00FB7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8BF"/>
    <w:rPr>
      <w:sz w:val="18"/>
    </w:rPr>
  </w:style>
  <w:style w:type="paragraph" w:customStyle="1" w:styleId="BodySmallRight">
    <w:name w:val="Body Small Right"/>
    <w:basedOn w:val="BodyTextRight"/>
    <w:rsid w:val="00FB78BF"/>
    <w:rPr>
      <w:sz w:val="18"/>
      <w:szCs w:val="18"/>
    </w:rPr>
  </w:style>
  <w:style w:type="paragraph" w:customStyle="1" w:styleId="MarginEdition">
    <w:name w:val="Margin Edition"/>
    <w:basedOn w:val="MarginNote"/>
    <w:rsid w:val="00FB7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8BF"/>
    <w:rPr>
      <w:sz w:val="2"/>
      <w:szCs w:val="2"/>
    </w:rPr>
  </w:style>
  <w:style w:type="character" w:customStyle="1" w:styleId="Small">
    <w:name w:val="Small"/>
    <w:basedOn w:val="DefaultParagraphFont"/>
    <w:rsid w:val="00FB78BF"/>
    <w:rPr>
      <w:sz w:val="16"/>
    </w:rPr>
  </w:style>
  <w:style w:type="paragraph" w:customStyle="1" w:styleId="WideTable">
    <w:name w:val="Wide Table"/>
    <w:basedOn w:val="Normal"/>
    <w:rsid w:val="00FB7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8BF"/>
  </w:style>
  <w:style w:type="paragraph" w:styleId="Quote">
    <w:name w:val="Quote"/>
    <w:basedOn w:val="Heading1"/>
    <w:link w:val="QuoteChar"/>
    <w:qFormat/>
    <w:rsid w:val="00FB7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8BF"/>
    <w:pPr>
      <w:pageBreakBefore/>
    </w:pPr>
  </w:style>
  <w:style w:type="paragraph" w:customStyle="1" w:styleId="Border">
    <w:name w:val="Border"/>
    <w:basedOn w:val="Normal"/>
    <w:qFormat/>
    <w:rsid w:val="00FB7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8BF"/>
    <w:rPr>
      <w:u w:val="single"/>
    </w:rPr>
  </w:style>
  <w:style w:type="character" w:customStyle="1" w:styleId="BoldandItalics">
    <w:name w:val="Bold and Italics"/>
    <w:qFormat/>
    <w:rsid w:val="00FB78BF"/>
    <w:rPr>
      <w:b/>
      <w:i/>
      <w:u w:val="none"/>
    </w:rPr>
  </w:style>
  <w:style w:type="paragraph" w:styleId="BalloonText">
    <w:name w:val="Balloon Text"/>
    <w:basedOn w:val="Normal"/>
    <w:link w:val="BalloonTextChar"/>
    <w:rsid w:val="00FB7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8BF"/>
    <w:pPr>
      <w:spacing w:before="0" w:after="0"/>
    </w:pPr>
  </w:style>
  <w:style w:type="paragraph" w:customStyle="1" w:styleId="BodyTextBold">
    <w:name w:val="Body Text Bold"/>
    <w:basedOn w:val="BodyText"/>
    <w:qFormat/>
    <w:rsid w:val="00FB78BF"/>
    <w:rPr>
      <w:b/>
    </w:rPr>
  </w:style>
  <w:style w:type="character" w:styleId="Hyperlink">
    <w:name w:val="Hyperlink"/>
    <w:basedOn w:val="DefaultParagraphFont"/>
    <w:uiPriority w:val="99"/>
    <w:unhideWhenUsed/>
    <w:rsid w:val="00984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5041</Characters>
  <Application>Microsoft Office Word</Application>
  <DocSecurity>0</DocSecurity>
  <Lines>105</Lines>
  <Paragraphs>74</Paragraphs>
  <ScaleCrop>false</ScaleCrop>
  <Company>Author-it Software Corporation Ltd.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MEM23124 Measure and analyse noise and vibration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