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C18" w:rsidP="00B77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MEM23119 Evaluate continuous improvement processes</w:t>
      </w:r>
      <w:r>
        <w:fldChar w:fldCharType="end"/>
      </w:r>
    </w:p>
    <w:p w:rsidR="00B77C18" w:rsidP="00B77C18">
      <w:pPr>
        <w:pStyle w:val="Version"/>
        <w:sectPr w:rsidSect="009E7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40B" w:rsidP="009E740B">
      <w:pPr>
        <w:pStyle w:val="SuperHeading"/>
      </w:pPr>
      <w:r w:rsidRPr="009E740B">
        <w:t>Assessment Requirements for MEM23119 Evaluate continuous improvement processes</w:t>
      </w:r>
    </w:p>
    <w:p w:rsidR="00000000" w:rsidRPr="009E740B" w:rsidP="009E740B">
      <w:pPr>
        <w:pStyle w:val="Heading1"/>
      </w:pPr>
      <w:bookmarkStart w:id="1" w:name="O_944109"/>
      <w:bookmarkEnd w:id="1"/>
      <w:r w:rsidRPr="009E740B">
        <w:t>Modification History</w:t>
      </w:r>
    </w:p>
    <w:p w:rsidR="00B77C18" w:rsidP="00B77C18">
      <w:pPr>
        <w:pStyle w:val="BodyText"/>
      </w:pPr>
      <w:r w:rsidRPr="009E740B">
        <w:t>Release 1. Supersedes and is equivalent to MEM23119A Evaluate continuous improvement processes.</w:t>
      </w:r>
    </w:p>
    <w:p w:rsidR="00000000" w:rsidRPr="009E740B" w:rsidP="009E740B">
      <w:pPr>
        <w:pStyle w:val="Heading1"/>
      </w:pPr>
      <w:bookmarkStart w:id="2" w:name="O_944112"/>
      <w:bookmarkEnd w:id="2"/>
      <w:r w:rsidRPr="009E740B">
        <w:t>Performance Evidence</w:t>
      </w:r>
    </w:p>
    <w:p w:rsidR="00000000" w:rsidRPr="009E740B" w:rsidP="00B77C18">
      <w:pPr>
        <w:pStyle w:val="BodyText"/>
      </w:pPr>
      <w:r w:rsidRPr="009E740B">
        <w:t>Evidence required to demonstrate competence in this unit must be relevant to and satisfy the requirements of the elements and performance criteria and include:</w:t>
      </w:r>
    </w:p>
    <w:p w:rsidR="00000000" w:rsidRPr="009E740B" w:rsidP="009E740B">
      <w:pPr>
        <w:pStyle w:val="ListBullet"/>
      </w:pPr>
      <w:r w:rsidRPr="009E740B">
        <w:t xml:space="preserve">determining measurable and controllable parameters of product or service and their suitability </w:t>
      </w:r>
      <w:r w:rsidRPr="009E740B">
        <w:t>in continuous improvement processes</w:t>
      </w:r>
    </w:p>
    <w:p w:rsidR="00000000" w:rsidRPr="009E740B" w:rsidP="009E740B">
      <w:pPr>
        <w:pStyle w:val="ListBullet"/>
      </w:pPr>
      <w:r w:rsidRPr="009E740B">
        <w:t>identifying work health and safety (WHS), regulatory requirements, risk management and related organisational procedures</w:t>
      </w:r>
    </w:p>
    <w:p w:rsidR="00000000" w:rsidRPr="009E740B" w:rsidP="009E740B">
      <w:pPr>
        <w:pStyle w:val="ListBullet"/>
      </w:pPr>
      <w:r w:rsidRPr="009E740B">
        <w:t xml:space="preserve">evaluating manual and automatic methods for measurement and data gathering, including analysis and </w:t>
      </w:r>
      <w:r w:rsidRPr="009E740B">
        <w:t>performance indices, software analysis and visual display</w:t>
      </w:r>
    </w:p>
    <w:p w:rsidR="00000000" w:rsidRPr="009E740B" w:rsidP="009E740B">
      <w:pPr>
        <w:pStyle w:val="ListBullet"/>
      </w:pPr>
      <w:r w:rsidRPr="009E740B">
        <w:t>evaluating qualitative continuous improvement processes</w:t>
      </w:r>
    </w:p>
    <w:p w:rsidR="00000000" w:rsidRPr="009E740B" w:rsidP="009E740B">
      <w:pPr>
        <w:pStyle w:val="ListBullet"/>
      </w:pPr>
      <w:r w:rsidRPr="009E740B">
        <w:t>evaluating sustainability implications of improvements</w:t>
      </w:r>
    </w:p>
    <w:p w:rsidR="00000000" w:rsidRPr="009E740B" w:rsidP="009E740B">
      <w:pPr>
        <w:pStyle w:val="ListBullet"/>
      </w:pPr>
      <w:r w:rsidRPr="009E740B">
        <w:t>measuring and gathering data, recording and analysing for trends and improvements on at</w:t>
      </w:r>
      <w:r w:rsidRPr="009E740B">
        <w:t xml:space="preserve"> least two occasions</w:t>
      </w:r>
    </w:p>
    <w:p w:rsidR="00000000" w:rsidRPr="009E740B" w:rsidP="009E740B">
      <w:pPr>
        <w:pStyle w:val="ListBullet"/>
      </w:pPr>
      <w:r w:rsidRPr="009E740B">
        <w:t>evaluating continuous improvement, systems thinking, constraint and contingency management and lean systems requirements on at least two occasions</w:t>
      </w:r>
    </w:p>
    <w:p w:rsidR="00000000" w:rsidRPr="009E740B" w:rsidP="009E740B">
      <w:pPr>
        <w:pStyle w:val="ListBullet"/>
      </w:pPr>
      <w:r w:rsidRPr="009E740B">
        <w:t>producing and interpreting charts used in production and service control including Ishik</w:t>
      </w:r>
      <w:r w:rsidRPr="009E740B">
        <w:t>awa ‘Fishbone’ diagrams, histograms, Pareto analysis, flowcharts, scatter plots, control charts and check sheets on at least two occasions</w:t>
      </w:r>
    </w:p>
    <w:p w:rsidR="00000000" w:rsidRPr="009E740B" w:rsidP="009E740B">
      <w:pPr>
        <w:pStyle w:val="ListBullet"/>
      </w:pPr>
      <w:r w:rsidRPr="009E740B">
        <w:t>reporting and documenting processes and results of evaluation.</w:t>
      </w:r>
    </w:p>
    <w:p w:rsidR="00B77C18" w:rsidRPr="00B77C18" w:rsidP="00B77C18">
      <w:pPr>
        <w:pStyle w:val="BodyText"/>
        <w:rPr>
          <w:i/>
        </w:rPr>
      </w:pPr>
      <w:r w:rsidRPr="00B77C18">
        <w:rPr>
          <w:rStyle w:val="Emphasis"/>
        </w:rPr>
        <w:t>Note: Where a volume and/or frequency is not specified</w:t>
      </w:r>
      <w:r w:rsidRPr="00B77C18">
        <w:rPr>
          <w:rStyle w:val="Emphasis"/>
        </w:rPr>
        <w:t>, demonstration must be provided at least once.</w:t>
      </w:r>
    </w:p>
    <w:p w:rsidR="00000000" w:rsidRPr="009E740B" w:rsidP="009E740B">
      <w:pPr>
        <w:pStyle w:val="Heading1"/>
      </w:pPr>
      <w:bookmarkStart w:id="3" w:name="O_944111"/>
      <w:bookmarkEnd w:id="3"/>
      <w:r w:rsidRPr="009E740B">
        <w:t>Knowledge Evidence</w:t>
      </w:r>
    </w:p>
    <w:p w:rsidR="00000000" w:rsidRPr="009E740B" w:rsidP="00B77C18">
      <w:pPr>
        <w:pStyle w:val="BodyText"/>
      </w:pPr>
      <w:r w:rsidRPr="009E740B">
        <w:t>Evidence required to demonstrate the required knowledge for this unit must be relevant to and satisfy the requirements of the elements and performance criteria and include</w:t>
      </w:r>
      <w:r w:rsidRPr="009E740B">
        <w:t xml:space="preserve"> knowledge of:</w:t>
      </w:r>
    </w:p>
    <w:p w:rsidR="00000000" w:rsidRPr="009E740B" w:rsidP="009E740B">
      <w:pPr>
        <w:pStyle w:val="ListBullet"/>
      </w:pPr>
      <w:r w:rsidRPr="009E740B">
        <w:t>features, functions and measurable parameters of products, processes, systems and services subject to improvement processes</w:t>
      </w:r>
    </w:p>
    <w:p w:rsidR="00000000" w:rsidRPr="009E740B" w:rsidP="009E740B">
      <w:pPr>
        <w:pStyle w:val="ListBullet"/>
      </w:pPr>
      <w:r w:rsidRPr="009E740B">
        <w:t>economic, social and sustainability implications of products, processes, systems, services and implications of improvement processes</w:t>
      </w:r>
    </w:p>
    <w:p w:rsidR="00000000" w:rsidRPr="009E740B" w:rsidP="009E740B">
      <w:pPr>
        <w:pStyle w:val="ListBullet"/>
      </w:pPr>
      <w:r w:rsidRPr="009E740B">
        <w:t>continuous improvement processes</w:t>
      </w:r>
    </w:p>
    <w:p w:rsidR="00000000" w:rsidRPr="009E740B" w:rsidP="009E740B">
      <w:pPr>
        <w:pStyle w:val="ListBullet"/>
      </w:pPr>
      <w:r w:rsidRPr="009E740B">
        <w:t>continuous improvement drivers and mechanisms including:</w:t>
      </w:r>
    </w:p>
    <w:p w:rsidR="00000000" w:rsidRPr="009E740B" w:rsidP="009E740B">
      <w:pPr>
        <w:pStyle w:val="ListBullet2"/>
      </w:pPr>
      <w:r w:rsidRPr="009E740B">
        <w:t>market competitiveness</w:t>
      </w:r>
    </w:p>
    <w:p w:rsidR="00000000" w:rsidRPr="009E740B" w:rsidP="009E740B">
      <w:pPr>
        <w:pStyle w:val="ListBullet2"/>
      </w:pPr>
      <w:r w:rsidRPr="009E740B">
        <w:t>maintenan</w:t>
      </w:r>
      <w:r w:rsidRPr="009E740B">
        <w:t>ce of a technological edge</w:t>
      </w:r>
    </w:p>
    <w:p w:rsidR="00000000" w:rsidRPr="009E740B" w:rsidP="009E740B">
      <w:pPr>
        <w:pStyle w:val="ListBullet2"/>
      </w:pPr>
      <w:r w:rsidRPr="009E740B">
        <w:t>customer expectations</w:t>
      </w:r>
    </w:p>
    <w:p w:rsidR="00000000" w:rsidRPr="009E740B" w:rsidP="009E740B">
      <w:pPr>
        <w:pStyle w:val="ListBullet"/>
      </w:pPr>
      <w:r w:rsidRPr="009E740B">
        <w:t>constraints and contingencies</w:t>
      </w:r>
    </w:p>
    <w:p w:rsidR="00000000" w:rsidRPr="009E740B" w:rsidP="009E740B">
      <w:pPr>
        <w:pStyle w:val="ListBullet"/>
      </w:pPr>
      <w:r w:rsidRPr="009E740B">
        <w:t>WHS requirements, codes of practice, regulatory requirements, and standard problem-solving and decision-making techniques:</w:t>
      </w:r>
    </w:p>
    <w:p w:rsidR="00000000" w:rsidRPr="009E740B" w:rsidP="009E740B">
      <w:pPr>
        <w:pStyle w:val="ListBullet2"/>
      </w:pPr>
      <w:r w:rsidRPr="009E740B">
        <w:t>brainstorming</w:t>
      </w:r>
    </w:p>
    <w:p w:rsidR="00000000" w:rsidRPr="009E740B" w:rsidP="009E740B">
      <w:pPr>
        <w:pStyle w:val="ListBullet2"/>
      </w:pPr>
      <w:r w:rsidRPr="009E740B">
        <w:t>current and future state mapping</w:t>
      </w:r>
    </w:p>
    <w:p w:rsidR="00000000" w:rsidRPr="009E740B" w:rsidP="009E740B">
      <w:pPr>
        <w:pStyle w:val="ListBullet2"/>
      </w:pPr>
      <w:r w:rsidRPr="009E740B">
        <w:t>seven</w:t>
      </w:r>
      <w:r w:rsidRPr="009E740B">
        <w:t xml:space="preserve"> tools of quality:</w:t>
      </w:r>
    </w:p>
    <w:p w:rsidR="00000000" w:rsidRPr="009E740B" w:rsidP="009E740B">
      <w:pPr>
        <w:pStyle w:val="ListBullet3"/>
      </w:pPr>
      <w:r w:rsidRPr="009E740B">
        <w:t>Ishikawa ‘Fishbone’ diagrams</w:t>
      </w:r>
    </w:p>
    <w:p w:rsidR="00000000" w:rsidRPr="009E740B" w:rsidP="009E740B">
      <w:pPr>
        <w:pStyle w:val="ListBullet3"/>
      </w:pPr>
      <w:r w:rsidRPr="009E740B">
        <w:t>histograms</w:t>
      </w:r>
    </w:p>
    <w:p w:rsidR="00000000" w:rsidRPr="009E740B" w:rsidP="009E740B">
      <w:pPr>
        <w:pStyle w:val="ListBullet3"/>
      </w:pPr>
      <w:r w:rsidRPr="009E740B">
        <w:t>Pareto analysis</w:t>
      </w:r>
    </w:p>
    <w:p w:rsidR="00000000" w:rsidRPr="009E740B" w:rsidP="009E740B">
      <w:pPr>
        <w:pStyle w:val="ListBullet3"/>
      </w:pPr>
      <w:r w:rsidRPr="009E740B">
        <w:t xml:space="preserve">flowcharts </w:t>
      </w:r>
    </w:p>
    <w:p w:rsidR="00000000" w:rsidRPr="009E740B" w:rsidP="009E740B">
      <w:pPr>
        <w:pStyle w:val="ListBullet3"/>
      </w:pPr>
      <w:r w:rsidRPr="009E740B">
        <w:t>scatter plots</w:t>
      </w:r>
    </w:p>
    <w:p w:rsidR="00000000" w:rsidRPr="009E740B" w:rsidP="009E740B">
      <w:pPr>
        <w:pStyle w:val="ListBullet3"/>
      </w:pPr>
      <w:r w:rsidRPr="009E740B">
        <w:t>control charts</w:t>
      </w:r>
    </w:p>
    <w:p w:rsidR="00000000" w:rsidRPr="009E740B" w:rsidP="009E740B">
      <w:pPr>
        <w:pStyle w:val="ListBullet3"/>
      </w:pPr>
      <w:r w:rsidRPr="009E740B">
        <w:t>check sheet</w:t>
      </w:r>
    </w:p>
    <w:p w:rsidR="00000000" w:rsidRPr="009E740B" w:rsidP="009E740B">
      <w:pPr>
        <w:pStyle w:val="ListBullet"/>
      </w:pPr>
      <w:r w:rsidRPr="009E740B">
        <w:t>data, performance metrics, graphics and visual indicators</w:t>
      </w:r>
    </w:p>
    <w:p w:rsidR="00000000" w:rsidRPr="009E740B" w:rsidP="009E740B">
      <w:pPr>
        <w:pStyle w:val="ListBullet"/>
      </w:pPr>
      <w:r w:rsidRPr="009E740B">
        <w:t>software options including:</w:t>
      </w:r>
    </w:p>
    <w:p w:rsidR="00000000" w:rsidRPr="009E740B" w:rsidP="009E740B">
      <w:pPr>
        <w:pStyle w:val="ListBullet2"/>
      </w:pPr>
      <w:r w:rsidRPr="009E740B">
        <w:t>budgeting, financial and business planning performance metrics analysers and graphics generators</w:t>
      </w:r>
    </w:p>
    <w:p w:rsidR="00000000" w:rsidRPr="009E740B" w:rsidP="009E740B">
      <w:pPr>
        <w:pStyle w:val="ListBullet2"/>
      </w:pPr>
      <w:r w:rsidRPr="009E740B">
        <w:t>maintenance downtime and cost data generators</w:t>
      </w:r>
    </w:p>
    <w:p w:rsidR="00000000" w:rsidRPr="009E740B" w:rsidP="009E740B">
      <w:pPr>
        <w:pStyle w:val="ListBullet2"/>
      </w:pPr>
      <w:r w:rsidRPr="009E740B">
        <w:t>supervisory control and data acquisition (SCADA), distributed control systems (DCS), enterprise resource planning (ERP) and materials resource planning (MRP) system data generators</w:t>
      </w:r>
    </w:p>
    <w:p w:rsidR="00000000" w:rsidRPr="009E740B" w:rsidP="009E740B">
      <w:pPr>
        <w:pStyle w:val="ListBullet2"/>
      </w:pPr>
      <w:r w:rsidRPr="009E740B">
        <w:t>performance data analysis and graphics generators</w:t>
      </w:r>
    </w:p>
    <w:p w:rsidR="00000000" w:rsidRPr="009E740B" w:rsidP="009E740B">
      <w:pPr>
        <w:pStyle w:val="ListBullet"/>
      </w:pPr>
      <w:r w:rsidRPr="009E740B">
        <w:t>statistical process cont</w:t>
      </w:r>
      <w:r w:rsidRPr="009E740B">
        <w:t>rol (SPC) techniques</w:t>
      </w:r>
    </w:p>
    <w:p w:rsidR="00B77C18" w:rsidP="009E740B">
      <w:pPr>
        <w:pStyle w:val="ListBullet"/>
      </w:pPr>
      <w:r w:rsidRPr="009E740B">
        <w:t>qualitative improvement techniques.</w:t>
      </w:r>
    </w:p>
    <w:p w:rsidR="00B77C18" w:rsidP="009E740B">
      <w:pPr>
        <w:pStyle w:val="ListBullet"/>
      </w:pPr>
    </w:p>
    <w:p w:rsidR="00000000" w:rsidRPr="009E740B" w:rsidP="009E740B">
      <w:pPr>
        <w:pStyle w:val="Heading1"/>
      </w:pPr>
      <w:bookmarkStart w:id="4" w:name="O_944110"/>
      <w:bookmarkEnd w:id="4"/>
      <w:r w:rsidRPr="009E740B">
        <w:t>Assessment Conditions</w:t>
      </w:r>
    </w:p>
    <w:p w:rsidR="00000000" w:rsidRPr="009E740B" w:rsidP="009E740B">
      <w:pPr>
        <w:pStyle w:val="ListBullet"/>
      </w:pPr>
      <w:r w:rsidRPr="009E740B">
        <w:t>Assessors must:</w:t>
      </w:r>
    </w:p>
    <w:p w:rsidR="00000000" w:rsidRPr="009E740B" w:rsidP="009E740B">
      <w:pPr>
        <w:pStyle w:val="ListBullet2"/>
      </w:pPr>
      <w:r w:rsidRPr="009E740B">
        <w:t>have vocational competency in evaluating continuous improvement processes at least to the level being assessed with relevant industry knowled</w:t>
      </w:r>
      <w:r w:rsidRPr="009E740B">
        <w:t>ge and experience</w:t>
      </w:r>
    </w:p>
    <w:p w:rsidR="00000000" w:rsidRPr="009E740B" w:rsidP="009E740B">
      <w:pPr>
        <w:pStyle w:val="ListBullet2"/>
      </w:pPr>
      <w:r w:rsidRPr="009E740B">
        <w:t xml:space="preserve">satisfy the assessor requirements in the </w:t>
      </w:r>
      <w:r w:rsidRPr="009E740B">
        <w:rPr>
          <w:rStyle w:val="Emphasis"/>
        </w:rPr>
        <w:t xml:space="preserve">Standards for Registered Training Organisations 2015 or its replacement </w:t>
      </w:r>
      <w:r w:rsidRPr="009E740B">
        <w:t xml:space="preserve">and comply with the </w:t>
      </w:r>
      <w:r w:rsidRPr="009E740B">
        <w:rPr>
          <w:rStyle w:val="Emphasis"/>
        </w:rPr>
        <w:t xml:space="preserve">National Vocational Education and Training Regulator Act 2011, </w:t>
      </w:r>
      <w:r w:rsidRPr="009E740B">
        <w:t>its replacement</w:t>
      </w:r>
      <w:r w:rsidRPr="009E740B">
        <w:rPr>
          <w:rStyle w:val="Emphasis"/>
        </w:rPr>
        <w:t xml:space="preserve"> </w:t>
      </w:r>
      <w:r w:rsidRPr="009E740B">
        <w:t xml:space="preserve">or equivalent legislation </w:t>
      </w:r>
      <w:r w:rsidRPr="009E740B">
        <w:t>covering VET regulation in a non-referring state/territory as the case requires.</w:t>
      </w:r>
    </w:p>
    <w:p w:rsidR="00000000" w:rsidRPr="009E740B" w:rsidP="009E740B">
      <w:pPr>
        <w:pStyle w:val="ListBullet"/>
      </w:pPr>
      <w:r w:rsidRPr="009E740B">
        <w:t>Where possible assessment must occur in operational workplace situations. Where this is not possible or where personal safety or environmental damage are limiting factors, as</w:t>
      </w:r>
      <w:r w:rsidRPr="009E740B">
        <w:t>sessment must occur in a sufficiently rigorous simulated environment that reflects realistic operational workplace conditions that cover all aspects of workplace performance, including environment, task skills, task management skills, contingency managemen</w:t>
      </w:r>
      <w:r w:rsidRPr="009E740B">
        <w:t>t skills and job role environment skills.</w:t>
      </w:r>
    </w:p>
    <w:p w:rsidR="00000000" w:rsidRPr="009E740B" w:rsidP="009E740B">
      <w:pPr>
        <w:pStyle w:val="ListBullet"/>
      </w:pPr>
      <w:r w:rsidRPr="009E740B">
        <w:t>Conditions for assessment must include access to all tools, equipment, materials and documentation required including relevant workplace procedures, product and manufacturing specifications.</w:t>
      </w:r>
    </w:p>
    <w:p w:rsidR="00B77C18" w:rsidP="009E740B">
      <w:pPr>
        <w:pStyle w:val="ListBullet"/>
      </w:pPr>
      <w:r w:rsidRPr="009E740B">
        <w:t>Assessment processes an</w:t>
      </w:r>
      <w:r w:rsidRPr="009E740B">
        <w:t>d techniques must be appropriate to the language, literacy and numeracy requirements of the work being performed and the needs of the candidate.</w:t>
      </w:r>
    </w:p>
    <w:p w:rsidR="00B77C18" w:rsidP="009E740B">
      <w:pPr>
        <w:pStyle w:val="ListBullet"/>
      </w:pPr>
    </w:p>
    <w:p w:rsidR="00000000" w:rsidRPr="009E740B" w:rsidP="009E740B">
      <w:pPr>
        <w:pStyle w:val="Heading1"/>
      </w:pPr>
      <w:bookmarkStart w:id="5" w:name="O_944108"/>
      <w:bookmarkEnd w:id="5"/>
      <w:r w:rsidRPr="009E740B">
        <w:t>Links</w:t>
      </w:r>
    </w:p>
    <w:p w:rsidR="00000000" w:rsidRPr="009E740B" w:rsidP="00B77C18">
      <w:pPr>
        <w:pStyle w:val="BodyText"/>
      </w:pPr>
      <w:r w:rsidRPr="009E7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3D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740B" w:rsidP="009E740B"/>
    <w:sectPr w:rsidSect="009E7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0B" w:rsidRPr="00B77C18" w:rsidP="00B77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8" w:rsidP="009E7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C18" w:rsidP="009E7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7C18" w:rsidP="009E7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40B" w:rsidRPr="00B77C18" w:rsidP="00B77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8" w:rsidRPr="002D2AF8" w:rsidP="009E7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MEM23119 Evaluate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7C18" w:rsidP="009E7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02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EF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67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40B"/>
  </w:style>
  <w:style w:type="character" w:customStyle="1" w:styleId="Heading1Char">
    <w:name w:val="Heading 1 Char"/>
    <w:basedOn w:val="DefaultParagraphFont"/>
    <w:link w:val="Heading1"/>
    <w:rsid w:val="009E7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4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4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4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40B"/>
    <w:rPr>
      <w:i/>
    </w:rPr>
  </w:style>
  <w:style w:type="paragraph" w:customStyle="1" w:styleId="SuperHeading">
    <w:name w:val="SuperHeading"/>
    <w:basedOn w:val="Normal"/>
    <w:rsid w:val="009E7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74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7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4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40B"/>
    <w:rPr>
      <w:b/>
      <w:spacing w:val="0"/>
    </w:rPr>
  </w:style>
  <w:style w:type="paragraph" w:customStyle="1" w:styleId="SuperTitle">
    <w:name w:val="SuperTitle"/>
    <w:basedOn w:val="Title"/>
    <w:rsid w:val="009E7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40B"/>
  </w:style>
  <w:style w:type="paragraph" w:styleId="TableofFigures">
    <w:name w:val="table of figures"/>
    <w:basedOn w:val="Normal"/>
    <w:next w:val="Normal"/>
    <w:semiHidden/>
    <w:rsid w:val="009E7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4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740B"/>
    <w:rPr>
      <w:rFonts w:ascii="Wingdings" w:hAnsi="Wingdings"/>
    </w:rPr>
  </w:style>
  <w:style w:type="paragraph" w:customStyle="1" w:styleId="TableHeading">
    <w:name w:val="Table Heading"/>
    <w:basedOn w:val="HeadingBase"/>
    <w:rsid w:val="009E7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40B"/>
    <w:rPr>
      <w:color w:val="0033CC"/>
      <w:u w:val="none"/>
    </w:rPr>
  </w:style>
  <w:style w:type="paragraph" w:customStyle="1" w:styleId="BodyTextRight">
    <w:name w:val="Body Text Right"/>
    <w:basedOn w:val="BodyText"/>
    <w:rsid w:val="009E7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4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40B"/>
    <w:rPr>
      <w:sz w:val="32"/>
    </w:rPr>
  </w:style>
  <w:style w:type="paragraph" w:customStyle="1" w:styleId="HeadingProcedure">
    <w:name w:val="Heading Procedure"/>
    <w:basedOn w:val="HeadingBase"/>
    <w:next w:val="Normal"/>
    <w:rsid w:val="009E7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40B"/>
    <w:pPr>
      <w:spacing w:before="60" w:after="60"/>
    </w:pPr>
  </w:style>
  <w:style w:type="paragraph" w:styleId="ListContinue">
    <w:name w:val="List Continue"/>
    <w:basedOn w:val="List"/>
    <w:rsid w:val="009E740B"/>
    <w:pPr>
      <w:ind w:firstLine="0"/>
    </w:pPr>
  </w:style>
  <w:style w:type="paragraph" w:customStyle="1" w:styleId="ListNote">
    <w:name w:val="List Note"/>
    <w:basedOn w:val="List"/>
    <w:rsid w:val="009E7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40B"/>
    <w:rPr>
      <w:rFonts w:ascii="Courier New" w:hAnsi="Courier New"/>
    </w:rPr>
  </w:style>
  <w:style w:type="paragraph" w:customStyle="1" w:styleId="NoteBullet">
    <w:name w:val="Note Bullet"/>
    <w:basedOn w:val="Note"/>
    <w:rsid w:val="009E7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4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7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40B"/>
    <w:rPr>
      <w:b/>
      <w:smallCaps/>
    </w:rPr>
  </w:style>
  <w:style w:type="paragraph" w:customStyle="1" w:styleId="TableListNumber">
    <w:name w:val="Table List Number"/>
    <w:basedOn w:val="ListNumber"/>
    <w:rsid w:val="009E7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40B"/>
    <w:pPr>
      <w:numPr>
        <w:numId w:val="10"/>
      </w:numPr>
    </w:pPr>
  </w:style>
  <w:style w:type="paragraph" w:customStyle="1" w:styleId="ListAlpha2">
    <w:name w:val="List Alpha 2"/>
    <w:basedOn w:val="List2"/>
    <w:rsid w:val="009E740B"/>
    <w:pPr>
      <w:numPr>
        <w:numId w:val="9"/>
      </w:numPr>
    </w:pPr>
  </w:style>
  <w:style w:type="paragraph" w:styleId="List2">
    <w:name w:val="List 2"/>
    <w:basedOn w:val="BodyText"/>
    <w:rsid w:val="009E7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4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74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740B"/>
    <w:pPr>
      <w:numPr>
        <w:numId w:val="5"/>
      </w:numPr>
    </w:pPr>
  </w:style>
  <w:style w:type="paragraph" w:styleId="ListContinue2">
    <w:name w:val="List Continue 2"/>
    <w:basedOn w:val="List2"/>
    <w:rsid w:val="009E740B"/>
    <w:pPr>
      <w:ind w:firstLine="0"/>
    </w:pPr>
  </w:style>
  <w:style w:type="paragraph" w:styleId="ListContinue3">
    <w:name w:val="List Continue 3"/>
    <w:basedOn w:val="List3"/>
    <w:rsid w:val="009E740B"/>
    <w:pPr>
      <w:ind w:left="1021" w:firstLine="0"/>
    </w:pPr>
  </w:style>
  <w:style w:type="paragraph" w:styleId="ListContinue4">
    <w:name w:val="List Continue 4"/>
    <w:basedOn w:val="List4"/>
    <w:rsid w:val="009E740B"/>
    <w:pPr>
      <w:ind w:firstLine="0"/>
    </w:pPr>
  </w:style>
  <w:style w:type="paragraph" w:styleId="ListContinue5">
    <w:name w:val="List Continue 5"/>
    <w:basedOn w:val="List5"/>
    <w:rsid w:val="009E740B"/>
    <w:pPr>
      <w:ind w:firstLine="0"/>
    </w:pPr>
  </w:style>
  <w:style w:type="paragraph" w:styleId="ListNumber3">
    <w:name w:val="List Number 3"/>
    <w:basedOn w:val="List3"/>
    <w:rsid w:val="009E740B"/>
    <w:pPr>
      <w:numPr>
        <w:numId w:val="6"/>
      </w:numPr>
    </w:pPr>
  </w:style>
  <w:style w:type="paragraph" w:styleId="ListNumber4">
    <w:name w:val="List Number 4"/>
    <w:basedOn w:val="List4"/>
    <w:rsid w:val="009E740B"/>
    <w:pPr>
      <w:numPr>
        <w:numId w:val="7"/>
      </w:numPr>
    </w:pPr>
  </w:style>
  <w:style w:type="paragraph" w:styleId="ListNumber5">
    <w:name w:val="List Number 5"/>
    <w:basedOn w:val="List5"/>
    <w:rsid w:val="009E740B"/>
    <w:pPr>
      <w:numPr>
        <w:numId w:val="8"/>
      </w:numPr>
    </w:pPr>
  </w:style>
  <w:style w:type="paragraph" w:styleId="BlockText">
    <w:name w:val="Block Text"/>
    <w:basedOn w:val="Normal"/>
    <w:rsid w:val="009E7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40B"/>
    <w:rPr>
      <w:sz w:val="16"/>
      <w:vertAlign w:val="superscript"/>
    </w:rPr>
  </w:style>
  <w:style w:type="character" w:customStyle="1" w:styleId="Symbols">
    <w:name w:val="Symbols"/>
    <w:basedOn w:val="DefaultParagraphFont"/>
    <w:rsid w:val="009E740B"/>
    <w:rPr>
      <w:rFonts w:ascii="Symbol" w:hAnsi="Symbol"/>
    </w:rPr>
  </w:style>
  <w:style w:type="character" w:customStyle="1" w:styleId="MenuOptions">
    <w:name w:val="Menu Options"/>
    <w:basedOn w:val="DefaultParagraphFont"/>
    <w:rsid w:val="009E7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40B"/>
    <w:rPr>
      <w:b/>
    </w:rPr>
  </w:style>
  <w:style w:type="character" w:customStyle="1" w:styleId="Underlined">
    <w:name w:val="Underlined"/>
    <w:basedOn w:val="DefaultParagraphFont"/>
    <w:rsid w:val="009E740B"/>
    <w:rPr>
      <w:u w:val="single"/>
    </w:rPr>
  </w:style>
  <w:style w:type="paragraph" w:customStyle="1" w:styleId="TableBodyTextRight">
    <w:name w:val="Table Body Text Right"/>
    <w:basedOn w:val="TableBodyText"/>
    <w:rsid w:val="009E7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40B"/>
    <w:rPr>
      <w:sz w:val="18"/>
    </w:rPr>
  </w:style>
  <w:style w:type="paragraph" w:customStyle="1" w:styleId="BodySmallRight">
    <w:name w:val="Body Small Right"/>
    <w:basedOn w:val="BodyTextRight"/>
    <w:rsid w:val="009E740B"/>
    <w:rPr>
      <w:sz w:val="18"/>
      <w:szCs w:val="18"/>
    </w:rPr>
  </w:style>
  <w:style w:type="paragraph" w:customStyle="1" w:styleId="MarginEdition">
    <w:name w:val="Margin Edition"/>
    <w:basedOn w:val="MarginNote"/>
    <w:rsid w:val="009E7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40B"/>
    <w:rPr>
      <w:sz w:val="2"/>
      <w:szCs w:val="2"/>
    </w:rPr>
  </w:style>
  <w:style w:type="character" w:customStyle="1" w:styleId="Small">
    <w:name w:val="Small"/>
    <w:basedOn w:val="DefaultParagraphFont"/>
    <w:rsid w:val="009E740B"/>
    <w:rPr>
      <w:sz w:val="16"/>
    </w:rPr>
  </w:style>
  <w:style w:type="paragraph" w:customStyle="1" w:styleId="WideTable">
    <w:name w:val="Wide Table"/>
    <w:basedOn w:val="Normal"/>
    <w:rsid w:val="009E7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40B"/>
  </w:style>
  <w:style w:type="paragraph" w:styleId="Quote">
    <w:name w:val="Quote"/>
    <w:basedOn w:val="Heading1"/>
    <w:link w:val="QuoteChar"/>
    <w:qFormat/>
    <w:rsid w:val="009E7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40B"/>
    <w:pPr>
      <w:pageBreakBefore/>
    </w:pPr>
  </w:style>
  <w:style w:type="paragraph" w:customStyle="1" w:styleId="Border">
    <w:name w:val="Border"/>
    <w:basedOn w:val="Normal"/>
    <w:qFormat/>
    <w:rsid w:val="009E7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40B"/>
    <w:rPr>
      <w:u w:val="single"/>
    </w:rPr>
  </w:style>
  <w:style w:type="character" w:customStyle="1" w:styleId="BoldandItalics">
    <w:name w:val="Bold and Italics"/>
    <w:qFormat/>
    <w:rsid w:val="009E740B"/>
    <w:rPr>
      <w:b/>
      <w:i/>
      <w:u w:val="none"/>
    </w:rPr>
  </w:style>
  <w:style w:type="paragraph" w:styleId="BalloonText">
    <w:name w:val="Balloon Text"/>
    <w:basedOn w:val="Normal"/>
    <w:link w:val="BalloonTextChar"/>
    <w:rsid w:val="009E7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40B"/>
    <w:pPr>
      <w:spacing w:before="0" w:after="0"/>
    </w:pPr>
  </w:style>
  <w:style w:type="paragraph" w:customStyle="1" w:styleId="BodyTextBold">
    <w:name w:val="Body Text Bold"/>
    <w:basedOn w:val="BodyText"/>
    <w:qFormat/>
    <w:rsid w:val="009E740B"/>
    <w:rPr>
      <w:b/>
    </w:rPr>
  </w:style>
  <w:style w:type="character" w:styleId="Hyperlink">
    <w:name w:val="Hyperlink"/>
    <w:basedOn w:val="DefaultParagraphFont"/>
    <w:uiPriority w:val="99"/>
    <w:unhideWhenUsed/>
    <w:rsid w:val="00B77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4224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MEM23119 Evaluate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