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71A" w:rsidP="007A371A">
      <w:pPr>
        <w:pStyle w:val="Title"/>
      </w:pPr>
      <w:r>
        <w:fldChar w:fldCharType="begin"/>
      </w:r>
      <w:r>
        <w:instrText xml:space="preserve"> TITLE   \* MERGEFORMAT </w:instrText>
      </w:r>
      <w:r>
        <w:fldChar w:fldCharType="separate"/>
      </w:r>
      <w:r>
        <w:t>MEM23117 Evaluate microcontroller applications</w:t>
      </w:r>
      <w:r>
        <w:fldChar w:fldCharType="end"/>
      </w:r>
    </w:p>
    <w:p w:rsidR="007A371A" w:rsidP="007A371A">
      <w:pPr>
        <w:pStyle w:val="Version"/>
        <w:sectPr w:rsidSect="00346B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B21" w:rsidP="00346B21">
      <w:pPr>
        <w:pStyle w:val="SuperHeading"/>
      </w:pPr>
      <w:r w:rsidRPr="00346B21">
        <w:t>MEM23117 Evaluate microcontroller applications</w:t>
      </w:r>
    </w:p>
    <w:p w:rsidR="00000000" w:rsidRPr="00346B21" w:rsidP="00346B21">
      <w:pPr>
        <w:pStyle w:val="Heading1"/>
      </w:pPr>
      <w:bookmarkStart w:id="1" w:name="O_944075"/>
      <w:bookmarkEnd w:id="1"/>
      <w:r w:rsidRPr="00346B21">
        <w:t>Modification History</w:t>
      </w:r>
    </w:p>
    <w:p w:rsidR="007A371A" w:rsidP="007A371A">
      <w:pPr>
        <w:pStyle w:val="BodyText"/>
      </w:pPr>
      <w:r w:rsidRPr="00346B21">
        <w:t>Release 1. Supersedes and is equivalent to MEM23117A Evaluate microcontroller applications.</w:t>
      </w:r>
    </w:p>
    <w:p w:rsidR="00000000" w:rsidRPr="00346B21" w:rsidP="00346B21">
      <w:pPr>
        <w:pStyle w:val="Heading1"/>
      </w:pPr>
      <w:bookmarkStart w:id="2" w:name="O_944083"/>
      <w:bookmarkEnd w:id="2"/>
      <w:r w:rsidRPr="00346B21">
        <w:t>Application</w:t>
      </w:r>
    </w:p>
    <w:p w:rsidR="00000000" w:rsidRPr="00346B21" w:rsidP="007A371A">
      <w:pPr>
        <w:pStyle w:val="BodyText"/>
      </w:pPr>
      <w:r w:rsidRPr="00346B21">
        <w:t>This unit of competency defines the skills and knowledge required to evaluate automated devices, machines</w:t>
      </w:r>
      <w:r w:rsidRPr="00346B21">
        <w:t xml:space="preserve"> and processes controlled by microprocessors. It includes integration of input devices/sensors, output devices/actuators, controllers, interfacing and signal conditioning, human-machine interfaces (HMIs), networking options, data and communications protoco</w:t>
      </w:r>
      <w:r w:rsidRPr="00346B21">
        <w:t>ls software, programming of microcontrollers and automation safety. Analogue interfacing is included but the unit does covert proportional integral derivative (PID) interfacing.</w:t>
      </w:r>
    </w:p>
    <w:p w:rsidR="00000000" w:rsidRPr="00346B21" w:rsidP="007A371A">
      <w:pPr>
        <w:pStyle w:val="BodyText"/>
      </w:pPr>
      <w:r w:rsidRPr="00346B21">
        <w:t>Microcontrollers are typically an integrated circuit consisting of a central p</w:t>
      </w:r>
      <w:r w:rsidRPr="00346B21">
        <w:t xml:space="preserve">rocessing unit (CPU) combined with support functions. These functions include a crystal oscillator, timers, watchdog timer, serial and optional analog input/output (I/O). There is a limited amount of read/write memory on the chip along with program memory </w:t>
      </w:r>
      <w:r w:rsidRPr="00346B21">
        <w:t>in the form of reprogrammable flash or ‘one-time programmable’ ROM.</w:t>
      </w:r>
    </w:p>
    <w:p w:rsidR="00000000" w:rsidRPr="00346B21" w:rsidP="007A371A">
      <w:pPr>
        <w:pStyle w:val="BodyText"/>
      </w:pPr>
      <w:r w:rsidRPr="00346B21">
        <w:t>The unit applies to the evaluation of microcontrollers and their use in automated devices, machines and engineering processes. It is suitable for people working as automation, mechatronics</w:t>
      </w:r>
      <w:r w:rsidRPr="00346B21">
        <w:t xml:space="preserve"> or maintenance technicians or for those pursuing qualifications or careers in those disciplines.</w:t>
      </w:r>
    </w:p>
    <w:p w:rsidR="007A371A" w:rsidP="007A371A">
      <w:pPr>
        <w:pStyle w:val="BodyText"/>
      </w:pPr>
      <w:r w:rsidRPr="00346B21">
        <w:t>No licensing, legislative or certification requirements apply to this unit at the time of publication.</w:t>
      </w:r>
    </w:p>
    <w:p w:rsidR="00000000" w:rsidRPr="00346B21" w:rsidP="00346B21">
      <w:pPr>
        <w:pStyle w:val="Heading1"/>
      </w:pPr>
      <w:bookmarkStart w:id="3" w:name="O_944082"/>
      <w:bookmarkEnd w:id="3"/>
      <w:r w:rsidRPr="00346B21">
        <w:t>Pre-requisite Unit</w:t>
      </w:r>
    </w:p>
    <w:p w:rsidR="00000000" w:rsidRPr="00346B21" w:rsidP="007A371A">
      <w:pPr>
        <w:pStyle w:val="Heading3"/>
      </w:pPr>
      <w:r w:rsidRPr="00346B21">
        <w:t>MEM23004 Apply tec</w:t>
      </w:r>
      <w:r w:rsidRPr="00346B21">
        <w:t>hnical mathematics</w:t>
      </w:r>
    </w:p>
    <w:p w:rsidR="00000000" w:rsidRPr="00346B21" w:rsidP="007A371A">
      <w:pPr>
        <w:pStyle w:val="BodyText"/>
      </w:pPr>
      <w:r w:rsidRPr="00346B21">
        <w:t xml:space="preserve">MEM23111 Select electrical equipment and components for engineering applications </w:t>
      </w:r>
    </w:p>
    <w:p w:rsidR="007A371A" w:rsidP="007A371A">
      <w:pPr>
        <w:pStyle w:val="BodyText"/>
      </w:pPr>
      <w:r w:rsidRPr="00346B21">
        <w:t>MEM23112 Investigate electrical and electronic controllers in engineering applications</w:t>
      </w:r>
    </w:p>
    <w:p w:rsidR="00000000" w:rsidRPr="00346B21" w:rsidP="00346B21">
      <w:pPr>
        <w:pStyle w:val="Heading1"/>
      </w:pPr>
      <w:bookmarkStart w:id="4" w:name="O_944081"/>
      <w:bookmarkEnd w:id="4"/>
      <w:r w:rsidRPr="00346B21">
        <w:t>Competency Field</w:t>
      </w:r>
    </w:p>
    <w:p w:rsidR="007A371A" w:rsidP="007A371A">
      <w:pPr>
        <w:pStyle w:val="BodyText"/>
      </w:pPr>
      <w:r w:rsidRPr="00346B21">
        <w:t>Engineering science</w:t>
      </w:r>
    </w:p>
    <w:p w:rsidR="00000000" w:rsidRPr="00346B21" w:rsidP="00346B21">
      <w:pPr>
        <w:pStyle w:val="Heading1"/>
      </w:pPr>
      <w:bookmarkStart w:id="5" w:name="O_944079"/>
      <w:bookmarkEnd w:id="5"/>
      <w:r w:rsidRPr="00346B21">
        <w:t>Elements and Performance Criteria</w:t>
      </w:r>
    </w:p>
    <w:tbl>
      <w:tblPr>
        <w:tblW w:w="9639" w:type="dxa"/>
        <w:tblLayout w:type="fixed"/>
        <w:tblCellMar>
          <w:left w:w="62" w:type="dxa"/>
          <w:right w:w="62" w:type="dxa"/>
        </w:tblCellMar>
        <w:tblLook w:val="0000"/>
      </w:tblPr>
      <w:tblGrid>
        <w:gridCol w:w="2531"/>
        <w:gridCol w:w="7108"/>
      </w:tblGrid>
      <w:tr w:rsidTr="007A371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6B21" w:rsidP="00346B21">
            <w:pPr>
              <w:pStyle w:val="BodyText"/>
            </w:pPr>
            <w:r w:rsidRPr="00346B2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B21">
            <w:pPr>
              <w:pStyle w:val="BodyText"/>
              <w:rPr>
                <w:lang w:val="en-NZ"/>
              </w:rPr>
            </w:pPr>
            <w:r w:rsidRPr="00346B21">
              <w:rPr>
                <w:rStyle w:val="SpecialBold"/>
              </w:rPr>
              <w:t>Performance Criteria</w:t>
            </w:r>
          </w:p>
        </w:tc>
      </w:tr>
      <w:tr w:rsidTr="007A371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BodyText"/>
            </w:pPr>
            <w:r w:rsidRPr="00346B21">
              <w:rPr>
                <w:rStyle w:val="Emphasis"/>
              </w:rPr>
              <w:t xml:space="preserve">Elements describe the </w:t>
            </w:r>
            <w:r w:rsidRPr="00346B21">
              <w:t xml:space="preserve">essential </w:t>
            </w:r>
            <w:r w:rsidRPr="00346B2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rPr>
                <w:rStyle w:val="Emphasis"/>
              </w:rPr>
              <w:t>Performance criteria describe the performance needed to demonstrate achievement of the element.</w:t>
            </w:r>
          </w:p>
        </w:tc>
      </w:tr>
      <w:tr w:rsidTr="007A37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BodyText"/>
            </w:pPr>
            <w:r w:rsidRPr="00346B21">
              <w:t>1.1 Confirm and apply safe electrical working practice</w:t>
            </w:r>
          </w:p>
          <w:p w:rsidR="00000000" w:rsidRPr="00346B21" w:rsidP="00346B21">
            <w:pPr>
              <w:pStyle w:val="BodyText"/>
            </w:pPr>
            <w:r w:rsidRPr="00346B21">
              <w:t>1.2 Review the currents and voltages present in the microcontroller applications and check for regulatory requirements and dangerous high currents and voltages, including effects on humans and on appli</w:t>
            </w:r>
            <w:r w:rsidRPr="00346B21">
              <w:t>cation equipment and components</w:t>
            </w:r>
          </w:p>
          <w:p w:rsidR="00000000" w:rsidRPr="00346B21" w:rsidP="00346B21">
            <w:pPr>
              <w:pStyle w:val="BodyText"/>
            </w:pPr>
            <w:r w:rsidRPr="00346B21">
              <w:t>1.3 Identify work health and safety (WHS) and regulatory requirements, codes of practice, standards, risk management and organisational procedures, including those related to automation safety</w:t>
            </w:r>
          </w:p>
          <w:p w:rsidR="00000000" w:rsidRPr="00346B21" w:rsidP="00346B21">
            <w:pPr>
              <w:pStyle w:val="BodyText"/>
            </w:pPr>
            <w:r w:rsidRPr="00346B21">
              <w:t>1.4 Identify software technique</w:t>
            </w:r>
            <w:r w:rsidRPr="00346B21">
              <w:t>s and graphics required for evaluation</w:t>
            </w:r>
          </w:p>
          <w:p w:rsidR="00000000" w:rsidRPr="00346B21" w:rsidP="00346B21">
            <w:pPr>
              <w:pStyle w:val="BodyText"/>
            </w:pPr>
            <w:r w:rsidRPr="00346B21">
              <w:t>1.5 Identify stakeholders to be consulted on evaluation tasks</w:t>
            </w:r>
          </w:p>
          <w:p w:rsidR="00000000" w:rsidRPr="00346B21" w:rsidP="00346B21">
            <w:pPr>
              <w:pStyle w:val="BodyText"/>
            </w:pPr>
            <w:r w:rsidRPr="00346B21">
              <w:t>1.6 Identify sources of technical and professional assistance</w:t>
            </w:r>
          </w:p>
          <w:p w:rsidR="00000000" w:rsidP="00346B21">
            <w:pPr>
              <w:pStyle w:val="BodyText"/>
              <w:rPr>
                <w:lang w:val="en-NZ"/>
              </w:rPr>
            </w:pPr>
            <w:r w:rsidRPr="00346B21">
              <w:t>1.7 Investigate sustainability implications of microcontroller applications</w:t>
            </w:r>
          </w:p>
        </w:tc>
      </w:tr>
      <w:tr w:rsidTr="007A37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2. Establish existing features of microprocessor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BodyText"/>
            </w:pPr>
            <w:r w:rsidRPr="00346B21">
              <w:t>2.1 Review the functions and features of devices, machines and processes controlled by microprocessors</w:t>
            </w:r>
          </w:p>
          <w:p w:rsidR="00000000" w:rsidRPr="00346B21" w:rsidP="00346B21">
            <w:pPr>
              <w:pStyle w:val="BodyText"/>
            </w:pPr>
            <w:r w:rsidRPr="00346B21">
              <w:t>2.2 Identify features and functions of microprocessor devices and components</w:t>
            </w:r>
          </w:p>
          <w:p w:rsidR="00000000" w:rsidRPr="00346B21" w:rsidP="00346B21">
            <w:pPr>
              <w:pStyle w:val="BodyText"/>
            </w:pPr>
            <w:r w:rsidRPr="00346B21">
              <w:t>2.3 Review mic</w:t>
            </w:r>
            <w:r w:rsidRPr="00346B21">
              <w:t>roprocessor programming and functions</w:t>
            </w:r>
          </w:p>
          <w:p w:rsidR="00000000" w:rsidRPr="00346B21" w:rsidP="00346B21">
            <w:pPr>
              <w:pStyle w:val="BodyText"/>
            </w:pPr>
            <w:r w:rsidRPr="00346B21">
              <w:t>2.4 Identify system integrating principles and techniques, signal conditioning and power interfacing</w:t>
            </w:r>
          </w:p>
          <w:p w:rsidR="00000000" w:rsidP="00346B21">
            <w:pPr>
              <w:pStyle w:val="BodyText"/>
              <w:rPr>
                <w:lang w:val="en-NZ"/>
              </w:rPr>
            </w:pPr>
            <w:r w:rsidRPr="00346B21">
              <w:t>2.5 Identify networking and system supervision, data acquisition and systems control options</w:t>
            </w:r>
          </w:p>
        </w:tc>
      </w:tr>
      <w:tr w:rsidTr="007A37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3. Evaluate microcontro</w:t>
            </w:r>
            <w:r w:rsidRPr="00346B21">
              <w:t>ller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BodyText"/>
            </w:pPr>
            <w:r w:rsidRPr="00346B21">
              <w:t>3.1 Determine suitability of components of application, including sensor or transducers, microcontroller and output devices, signal conditioning and interfacing used by applications</w:t>
            </w:r>
          </w:p>
          <w:p w:rsidR="00000000" w:rsidRPr="00346B21" w:rsidP="00346B21">
            <w:pPr>
              <w:pStyle w:val="BodyText"/>
            </w:pPr>
            <w:r w:rsidRPr="00346B21">
              <w:t>3.2 Assess scope and suitability of microcontroller func</w:t>
            </w:r>
            <w:r w:rsidRPr="00346B21">
              <w:t>tions, software and programming to applications</w:t>
            </w:r>
          </w:p>
          <w:p w:rsidR="00000000" w:rsidRPr="00346B21" w:rsidP="00346B21">
            <w:pPr>
              <w:pStyle w:val="BodyText"/>
            </w:pPr>
            <w:r w:rsidRPr="00346B21">
              <w:t>3.3 Assess suitability of network, supervisory control and data acquisition (SCADA) options, communications protocols, standards and network topologies, human-machine interfaces (HMIs) and graphical user inte</w:t>
            </w:r>
            <w:r w:rsidRPr="00346B21">
              <w:t>rfaces (GUIs) used by applications</w:t>
            </w:r>
          </w:p>
          <w:p w:rsidR="00000000" w:rsidP="00346B21">
            <w:pPr>
              <w:pStyle w:val="BodyText"/>
              <w:rPr>
                <w:lang w:val="en-NZ"/>
              </w:rPr>
            </w:pPr>
            <w:r w:rsidRPr="00346B21">
              <w:t xml:space="preserve">3.4 Review application for compliance with WHS and regulatory requirements, codes of practice, standards and risk management </w:t>
            </w:r>
            <w:r w:rsidRPr="00346B21">
              <w:t>procedures</w:t>
            </w:r>
          </w:p>
        </w:tc>
      </w:tr>
      <w:tr w:rsidTr="007A37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BodyText"/>
            </w:pPr>
            <w:r w:rsidRPr="00346B21">
              <w:t>4.1 Record results of scoping, principles and techniques identific</w:t>
            </w:r>
            <w:r w:rsidRPr="00346B21">
              <w:t>ation, and evaluation of applications</w:t>
            </w:r>
          </w:p>
          <w:p w:rsidR="00000000" w:rsidRPr="00346B21" w:rsidP="00346B21">
            <w:pPr>
              <w:pStyle w:val="BodyText"/>
            </w:pPr>
            <w:r w:rsidRPr="00346B21">
              <w:t>4.2 Provide documentation that includes files, layouts, programs, flow charts or state diagrams</w:t>
            </w:r>
          </w:p>
        </w:tc>
      </w:tr>
    </w:tbl>
    <w:p w:rsidR="007A371A" w:rsidP="00346B21">
      <w:pPr>
        <w:pStyle w:val="BodyText"/>
      </w:pPr>
    </w:p>
    <w:p w:rsidR="007A371A" w:rsidP="00346B21">
      <w:pPr>
        <w:pStyle w:val="BodyText"/>
      </w:pPr>
    </w:p>
    <w:p w:rsidR="00000000" w:rsidRPr="00346B21" w:rsidP="00346B21">
      <w:pPr>
        <w:pStyle w:val="Heading1"/>
      </w:pPr>
      <w:bookmarkStart w:id="6" w:name="O_944078"/>
      <w:bookmarkEnd w:id="6"/>
      <w:r w:rsidRPr="00346B21">
        <w:t>Foundation Skills</w:t>
      </w:r>
    </w:p>
    <w:p w:rsidR="00000000" w:rsidRPr="00346B21" w:rsidP="007A371A">
      <w:pPr>
        <w:pStyle w:val="BodyText"/>
      </w:pPr>
      <w:r w:rsidRPr="00346B21">
        <w:t>This section describes those language, literacy, numeracy and employment skills that</w:t>
      </w:r>
      <w:r w:rsidRPr="00346B21">
        <w:t xml:space="preserve"> are essential to performance.</w:t>
      </w:r>
    </w:p>
    <w:p w:rsidR="007A371A" w:rsidP="007A371A">
      <w:pPr>
        <w:pStyle w:val="BodyText"/>
      </w:pPr>
      <w:r w:rsidRPr="00346B21">
        <w:t>Foundation skills essential to performance are explicit in the performance criteria of this unit of competency.</w:t>
      </w:r>
    </w:p>
    <w:p w:rsidR="00000000" w:rsidRPr="00346B21" w:rsidP="00346B21">
      <w:pPr>
        <w:pStyle w:val="Heading1"/>
      </w:pPr>
      <w:bookmarkStart w:id="7" w:name="O_944077"/>
      <w:bookmarkEnd w:id="7"/>
      <w:r w:rsidRPr="00346B21">
        <w:t>Range of Conditions</w:t>
      </w:r>
    </w:p>
    <w:tbl>
      <w:tblPr>
        <w:tblW w:w="9638" w:type="dxa"/>
        <w:tblLayout w:type="fixed"/>
        <w:tblCellMar>
          <w:left w:w="62" w:type="dxa"/>
          <w:right w:w="62" w:type="dxa"/>
        </w:tblCellMar>
        <w:tblLook w:val="0000"/>
      </w:tblPr>
      <w:tblGrid>
        <w:gridCol w:w="2758"/>
        <w:gridCol w:w="6880"/>
      </w:tblGrid>
      <w:tr w:rsidTr="00346B2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This field allows for different work environments and conditions that may affect performance. Essential operating conditions that may be present (depending on the work situation, needs of the candidate, accessibility of the item, and local industry and reg</w:t>
            </w:r>
            <w:r w:rsidRPr="00346B21">
              <w:t>ional contexts) are included.</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Microcontroller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 xml:space="preserve">motor controllers </w:t>
            </w:r>
          </w:p>
          <w:p w:rsidR="00000000" w:rsidRPr="00346B21" w:rsidP="00346B21">
            <w:pPr>
              <w:pStyle w:val="ListBullet"/>
            </w:pPr>
            <w:r w:rsidRPr="00346B21">
              <w:t>fault detectors</w:t>
            </w:r>
          </w:p>
          <w:p w:rsidR="00000000" w:rsidRPr="00346B21" w:rsidP="00346B21">
            <w:pPr>
              <w:pStyle w:val="ListBullet"/>
            </w:pPr>
            <w:r w:rsidRPr="00346B21">
              <w:t>power controllers</w:t>
            </w:r>
          </w:p>
          <w:p w:rsidR="00000000" w:rsidRPr="00346B21" w:rsidP="00346B21">
            <w:pPr>
              <w:pStyle w:val="ListBullet"/>
            </w:pPr>
            <w:r w:rsidRPr="00346B21">
              <w:t>communications</w:t>
            </w:r>
          </w:p>
          <w:p w:rsidR="00000000" w:rsidRPr="00346B21" w:rsidP="00346B21">
            <w:pPr>
              <w:pStyle w:val="ListBullet"/>
            </w:pPr>
            <w:r w:rsidRPr="00346B21">
              <w:t>security systems</w:t>
            </w:r>
          </w:p>
          <w:p w:rsidR="00000000" w:rsidRPr="00346B21" w:rsidP="00346B21">
            <w:pPr>
              <w:pStyle w:val="ListBullet"/>
            </w:pPr>
            <w:r w:rsidRPr="00346B21">
              <w:t>machine and process automation</w:t>
            </w:r>
          </w:p>
          <w:p w:rsidR="00000000" w:rsidRPr="00346B21" w:rsidP="00346B21">
            <w:pPr>
              <w:pStyle w:val="ListBullet"/>
            </w:pPr>
            <w:r w:rsidRPr="00346B21">
              <w:t>automotive and transport applications</w:t>
            </w:r>
          </w:p>
          <w:p w:rsidR="00000000" w:rsidRPr="00346B21" w:rsidP="00346B21">
            <w:pPr>
              <w:pStyle w:val="ListBullet"/>
            </w:pPr>
            <w:r w:rsidRPr="00346B21">
              <w:t>domestic appliances</w:t>
            </w:r>
          </w:p>
          <w:p w:rsidR="00000000" w:rsidP="00346B21">
            <w:pPr>
              <w:pStyle w:val="ListBullet"/>
              <w:rPr>
                <w:lang w:val="en-NZ"/>
              </w:rPr>
            </w:pPr>
            <w:r w:rsidRPr="00346B21">
              <w:t>medical equipment.</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technical support and advice relating to elements which have intrinsic dangers including</w:t>
            </w:r>
          </w:p>
          <w:p w:rsidR="00000000" w:rsidP="00346B21">
            <w:pPr>
              <w:pStyle w:val="ListBullet"/>
              <w:rPr>
                <w:lang w:val="en-NZ"/>
              </w:rPr>
            </w:pPr>
            <w:r w:rsidRPr="00346B21">
              <w:t>professional support for technologies.</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Work health and safety (WHS), regulatory requi</w:t>
            </w:r>
            <w:r w:rsidRPr="00346B21">
              <w:t>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WHS, acts, regulations and relevant standards</w:t>
            </w:r>
          </w:p>
          <w:p w:rsidR="00000000" w:rsidRPr="00346B21" w:rsidP="00346B21">
            <w:pPr>
              <w:pStyle w:val="ListBullet"/>
            </w:pPr>
            <w:r w:rsidRPr="00346B21">
              <w:t>codes of practice from Australian and overseas engineering and technical associations and societies</w:t>
            </w:r>
          </w:p>
          <w:p w:rsidR="00000000" w:rsidRPr="00346B21" w:rsidP="00346B21">
            <w:pPr>
              <w:pStyle w:val="ListBullet"/>
            </w:pPr>
            <w:r w:rsidRPr="00346B21">
              <w:t>risk assessments</w:t>
            </w:r>
          </w:p>
          <w:p w:rsidR="00000000" w:rsidRPr="00346B21" w:rsidP="00346B21">
            <w:pPr>
              <w:pStyle w:val="ListBullet"/>
            </w:pPr>
            <w:r w:rsidRPr="00346B21">
              <w:t xml:space="preserve">registration requirements </w:t>
            </w:r>
          </w:p>
          <w:p w:rsidR="00000000" w:rsidRPr="00346B21" w:rsidP="00346B21">
            <w:pPr>
              <w:pStyle w:val="ListBullet"/>
            </w:pPr>
            <w:r w:rsidRPr="00346B21">
              <w:t>safe work practice</w:t>
            </w:r>
            <w:r w:rsidRPr="00346B21">
              <w:t>s</w:t>
            </w:r>
          </w:p>
          <w:p w:rsidR="00000000" w:rsidP="00346B21">
            <w:pPr>
              <w:pStyle w:val="ListBullet"/>
              <w:rPr>
                <w:lang w:val="en-NZ"/>
              </w:rPr>
            </w:pPr>
            <w:r w:rsidRPr="00346B21">
              <w:t xml:space="preserve">state and territory regulatory requirements. </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emergency stop</w:t>
            </w:r>
          </w:p>
          <w:p w:rsidR="00000000" w:rsidRPr="00346B21" w:rsidP="00346B21">
            <w:pPr>
              <w:pStyle w:val="ListBullet"/>
            </w:pPr>
            <w:r w:rsidRPr="00346B21">
              <w:t>failsafe design</w:t>
            </w:r>
          </w:p>
          <w:p w:rsidR="00000000" w:rsidRPr="00346B21" w:rsidP="00346B21">
            <w:pPr>
              <w:pStyle w:val="ListBullet"/>
            </w:pPr>
            <w:r w:rsidRPr="00346B21">
              <w:t>redundancy</w:t>
            </w:r>
          </w:p>
          <w:p w:rsidR="00000000" w:rsidRPr="00346B21" w:rsidP="00346B21">
            <w:pPr>
              <w:pStyle w:val="ListBullet"/>
            </w:pPr>
            <w:r w:rsidRPr="00346B21">
              <w:t>interlocks</w:t>
            </w:r>
          </w:p>
          <w:p w:rsidR="00000000" w:rsidRPr="00346B21" w:rsidP="00346B21">
            <w:pPr>
              <w:pStyle w:val="ListBullet"/>
            </w:pPr>
            <w:r w:rsidRPr="00346B21">
              <w:t>guarding data integrity</w:t>
            </w:r>
          </w:p>
          <w:p w:rsidR="00000000" w:rsidRPr="00346B21" w:rsidP="00346B21">
            <w:pPr>
              <w:pStyle w:val="ListBullet"/>
            </w:pPr>
            <w:r w:rsidRPr="00346B21">
              <w:t xml:space="preserve">general plant design and use </w:t>
            </w:r>
          </w:p>
          <w:p w:rsidR="00000000" w:rsidP="00346B21">
            <w:pPr>
              <w:pStyle w:val="ListBullet"/>
              <w:rPr>
                <w:lang w:val="en-NZ"/>
              </w:rPr>
            </w:pPr>
            <w:r w:rsidRPr="00346B21">
              <w:t>functional safety of safety-related electrical, electronic and programmable electronic control systems.</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Network topologies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daisy-chain</w:t>
            </w:r>
          </w:p>
          <w:p w:rsidR="00000000" w:rsidRPr="00346B21" w:rsidP="00346B21">
            <w:pPr>
              <w:pStyle w:val="ListBullet"/>
            </w:pPr>
            <w:r w:rsidRPr="00346B21">
              <w:t>star</w:t>
            </w:r>
          </w:p>
          <w:p w:rsidR="00000000" w:rsidRPr="00346B21" w:rsidP="00346B21">
            <w:pPr>
              <w:pStyle w:val="ListBullet"/>
            </w:pPr>
            <w:r w:rsidRPr="00346B21">
              <w:t>ring</w:t>
            </w:r>
          </w:p>
          <w:p w:rsidR="00000000" w:rsidRPr="00346B21" w:rsidP="00346B21">
            <w:pPr>
              <w:pStyle w:val="ListBullet"/>
            </w:pPr>
            <w:r w:rsidRPr="00346B21">
              <w:t>branch</w:t>
            </w:r>
          </w:p>
          <w:p w:rsidR="00000000" w:rsidRPr="00346B21" w:rsidP="00346B21">
            <w:pPr>
              <w:pStyle w:val="ListBullet"/>
            </w:pPr>
            <w:r w:rsidRPr="00346B21">
              <w:t xml:space="preserve">linear </w:t>
            </w:r>
          </w:p>
          <w:p w:rsidR="00000000" w:rsidRPr="00346B21" w:rsidP="00346B21">
            <w:pPr>
              <w:pStyle w:val="ListBullet"/>
            </w:pPr>
            <w:r w:rsidRPr="00346B21">
              <w:t>tree</w:t>
            </w:r>
          </w:p>
          <w:p w:rsidR="00000000" w:rsidP="00346B21">
            <w:pPr>
              <w:pStyle w:val="ListBullet"/>
              <w:rPr>
                <w:lang w:val="en-NZ"/>
              </w:rPr>
            </w:pPr>
            <w:r w:rsidRPr="00346B21">
              <w:t>wired and wireless options.</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Software for microcontroller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integrated development environment software which can include:</w:t>
            </w:r>
          </w:p>
          <w:p w:rsidR="00000000" w:rsidRPr="00346B21" w:rsidP="00346B21">
            <w:pPr>
              <w:pStyle w:val="ListBullet2"/>
            </w:pPr>
            <w:r w:rsidRPr="00346B21">
              <w:t>programmer</w:t>
            </w:r>
          </w:p>
          <w:p w:rsidR="00000000" w:rsidRPr="00346B21" w:rsidP="00346B21">
            <w:pPr>
              <w:pStyle w:val="ListBullet2"/>
            </w:pPr>
            <w:r w:rsidRPr="00346B21">
              <w:t>editor</w:t>
            </w:r>
          </w:p>
          <w:p w:rsidR="00000000" w:rsidRPr="00346B21" w:rsidP="00346B21">
            <w:pPr>
              <w:pStyle w:val="ListBullet2"/>
            </w:pPr>
            <w:r w:rsidRPr="00346B21">
              <w:t>assembler</w:t>
            </w:r>
          </w:p>
          <w:p w:rsidR="00000000" w:rsidRPr="00346B21" w:rsidP="00346B21">
            <w:pPr>
              <w:pStyle w:val="ListBullet2"/>
            </w:pPr>
            <w:r w:rsidRPr="00346B21">
              <w:t>compiler</w:t>
            </w:r>
          </w:p>
          <w:p w:rsidR="00000000" w:rsidRPr="00346B21" w:rsidP="00346B21">
            <w:pPr>
              <w:pStyle w:val="ListBullet2"/>
            </w:pPr>
            <w:r w:rsidRPr="00346B21">
              <w:t>linker</w:t>
            </w:r>
          </w:p>
          <w:p w:rsidR="00000000" w:rsidRPr="00346B21" w:rsidP="00346B21">
            <w:pPr>
              <w:pStyle w:val="ListBullet2"/>
            </w:pPr>
            <w:r w:rsidRPr="00346B21">
              <w:t>simulator</w:t>
            </w:r>
          </w:p>
          <w:p w:rsidR="00000000" w:rsidRPr="00346B21" w:rsidP="00346B21">
            <w:pPr>
              <w:pStyle w:val="ListBullet2"/>
            </w:pPr>
            <w:r w:rsidRPr="00346B21">
              <w:t>emulator</w:t>
            </w:r>
          </w:p>
          <w:p w:rsidR="00000000" w:rsidRPr="00346B21" w:rsidP="00346B21">
            <w:pPr>
              <w:pStyle w:val="ListBullet"/>
            </w:pPr>
            <w:r w:rsidRPr="00346B21">
              <w:t>HMI software</w:t>
            </w:r>
          </w:p>
          <w:p w:rsidR="00000000" w:rsidRPr="00346B21" w:rsidP="00346B21">
            <w:pPr>
              <w:pStyle w:val="ListBullet"/>
            </w:pPr>
            <w:r w:rsidRPr="00346B21">
              <w:t>network software</w:t>
            </w:r>
          </w:p>
          <w:p w:rsidR="00000000" w:rsidP="00346B21">
            <w:pPr>
              <w:pStyle w:val="ListBullet"/>
              <w:rPr>
                <w:lang w:val="en-NZ"/>
              </w:rPr>
            </w:pPr>
            <w:r w:rsidRPr="00346B21">
              <w:t>modem software.</w:t>
            </w:r>
          </w:p>
        </w:tc>
      </w:tr>
      <w:tr w:rsidTr="00346B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21">
            <w:pPr>
              <w:pStyle w:val="BodyText"/>
              <w:rPr>
                <w:lang w:val="en-NZ"/>
              </w:rPr>
            </w:pPr>
            <w:r w:rsidRPr="00346B21">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21" w:rsidP="00346B21">
            <w:pPr>
              <w:pStyle w:val="ListBullet"/>
            </w:pPr>
            <w:r w:rsidRPr="00346B21">
              <w:t>meeting all regulatory requirements</w:t>
            </w:r>
          </w:p>
          <w:p w:rsidR="00000000" w:rsidRPr="00346B21" w:rsidP="00346B21">
            <w:pPr>
              <w:pStyle w:val="ListBullet"/>
            </w:pPr>
            <w:r w:rsidRPr="00346B21">
              <w:t>conforming to all industry covenants, protocols and best practice guides</w:t>
            </w:r>
          </w:p>
          <w:p w:rsidR="00000000" w:rsidRPr="00346B21" w:rsidP="00346B21">
            <w:pPr>
              <w:pStyle w:val="ListBullet"/>
            </w:pPr>
            <w:r w:rsidRPr="00346B21">
              <w:t>minimising ecological and environmental footprint of process, plant and product</w:t>
            </w:r>
          </w:p>
          <w:p w:rsidR="00000000" w:rsidRPr="00346B21" w:rsidP="00346B21">
            <w:pPr>
              <w:pStyle w:val="ListBullet"/>
            </w:pPr>
            <w:r w:rsidRPr="00346B21">
              <w:t xml:space="preserve">maximising economic benefit of process plant and product to the organisation and the community </w:t>
            </w:r>
          </w:p>
          <w:p w:rsidR="00000000" w:rsidRPr="00346B21" w:rsidP="00346B21">
            <w:pPr>
              <w:pStyle w:val="ListBullet"/>
            </w:pPr>
            <w:r w:rsidRPr="00346B21">
              <w:t>minimis</w:t>
            </w:r>
            <w:r w:rsidRPr="00346B21">
              <w:t>ing the negative WHS impact on employees, community and customer.</w:t>
            </w:r>
          </w:p>
        </w:tc>
      </w:tr>
    </w:tbl>
    <w:p w:rsidR="007A371A" w:rsidP="00346B21">
      <w:pPr>
        <w:pStyle w:val="BodyText"/>
      </w:pPr>
    </w:p>
    <w:p w:rsidR="007A371A" w:rsidP="00346B21">
      <w:pPr>
        <w:pStyle w:val="BodyText"/>
      </w:pPr>
    </w:p>
    <w:p w:rsidR="00000000" w:rsidRPr="00346B21" w:rsidP="00346B21">
      <w:pPr>
        <w:pStyle w:val="Heading1"/>
      </w:pPr>
      <w:bookmarkStart w:id="8" w:name="O_944076"/>
      <w:bookmarkEnd w:id="8"/>
      <w:r w:rsidRPr="00346B21">
        <w:t>Unit Mapping Information</w:t>
      </w:r>
    </w:p>
    <w:p w:rsidR="007A371A" w:rsidP="007A371A">
      <w:pPr>
        <w:pStyle w:val="BodyText"/>
      </w:pPr>
      <w:r w:rsidRPr="00346B21">
        <w:t>Release 1. Supersedes and is equivalent to MEM23117A Evaluate microcontroller applications.</w:t>
      </w:r>
    </w:p>
    <w:p w:rsidR="00000000" w:rsidRPr="00346B21" w:rsidP="00346B21">
      <w:pPr>
        <w:pStyle w:val="Heading1"/>
      </w:pPr>
      <w:bookmarkStart w:id="9" w:name="O_944069"/>
      <w:bookmarkEnd w:id="9"/>
      <w:r w:rsidRPr="00346B21">
        <w:t>Links</w:t>
      </w:r>
    </w:p>
    <w:p w:rsidR="00000000" w:rsidRPr="00346B21" w:rsidP="007A371A">
      <w:pPr>
        <w:pStyle w:val="BodyText"/>
      </w:pPr>
      <w:r w:rsidRPr="00346B21">
        <w:t>Companion Volume implementati</w:t>
      </w:r>
      <w:r w:rsidRPr="00346B21">
        <w:t xml:space="preserve">on guides are found in VETNet - </w:t>
      </w:r>
      <w:r>
        <w:fldChar w:fldCharType="begin"/>
      </w:r>
      <w:r>
        <w:instrText xml:space="preserve"> HYPERLINK "https://vetnet.gov.au/Pages/TrainingDocs.aspx?q=b7050d37-5fd0-4740-8f7d-3b7a49c10bb2" </w:instrText>
      </w:r>
      <w:r>
        <w:fldChar w:fldCharType="separate"/>
      </w:r>
      <w:r w:rsidRPr="00252977">
        <w:rPr>
          <w:rStyle w:val="Hyperlink"/>
        </w:rPr>
        <w:t>https://vetnet.gov.au/Pages/TrainingDocs.aspx?q=b7050d37-5fd0-4740-8f7d-3b7a49c10bb2</w:t>
      </w:r>
      <w:r>
        <w:fldChar w:fldCharType="end"/>
      </w:r>
    </w:p>
    <w:p w:rsidR="00000000" w:rsidRPr="00346B21" w:rsidP="00346B21"/>
    <w:sectPr w:rsidSect="00346B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21" w:rsidRPr="007A371A" w:rsidP="007A3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1A" w:rsidP="00346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71A" w:rsidP="00346B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371A" w:rsidP="00346B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B21" w:rsidRPr="007A371A" w:rsidP="007A3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1A" w:rsidRPr="002D2AF8" w:rsidP="00346B21">
    <w:pPr>
      <w:pStyle w:val="Header"/>
      <w:framePr w:wrap="around"/>
    </w:pPr>
    <w:r>
      <w:fldChar w:fldCharType="begin"/>
    </w:r>
    <w:r>
      <w:instrText xml:space="preserve"> TITLE   \* MERGEFORMAT </w:instrText>
    </w:r>
    <w:r>
      <w:fldChar w:fldCharType="separate"/>
    </w:r>
    <w:r>
      <w:t>MEM23117 Evaluate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A371A" w:rsidP="00346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61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64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66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B21"/>
    <w:pPr>
      <w:spacing w:before="360" w:after="60"/>
      <w:outlineLvl w:val="0"/>
    </w:pPr>
    <w:rPr>
      <w:sz w:val="32"/>
    </w:rPr>
  </w:style>
  <w:style w:type="paragraph" w:styleId="Heading2">
    <w:name w:val="heading 2"/>
    <w:basedOn w:val="HeadingBase"/>
    <w:next w:val="BodyText"/>
    <w:link w:val="Heading2Char"/>
    <w:qFormat/>
    <w:rsid w:val="00346B21"/>
    <w:pPr>
      <w:keepLines/>
      <w:spacing w:before="240" w:after="120"/>
      <w:outlineLvl w:val="1"/>
    </w:pPr>
    <w:rPr>
      <w:sz w:val="28"/>
      <w:szCs w:val="40"/>
    </w:rPr>
  </w:style>
  <w:style w:type="paragraph" w:styleId="Heading3">
    <w:name w:val="heading 3"/>
    <w:basedOn w:val="HeadingBase"/>
    <w:next w:val="BodyText"/>
    <w:link w:val="Heading3Char"/>
    <w:qFormat/>
    <w:rsid w:val="00346B21"/>
    <w:pPr>
      <w:spacing w:before="180" w:after="120"/>
      <w:outlineLvl w:val="2"/>
    </w:pPr>
    <w:rPr>
      <w:spacing w:val="-10"/>
      <w:kern w:val="32"/>
    </w:rPr>
  </w:style>
  <w:style w:type="paragraph" w:styleId="Heading4">
    <w:name w:val="heading 4"/>
    <w:basedOn w:val="HeadingBase"/>
    <w:next w:val="BodyText"/>
    <w:link w:val="Heading4Char"/>
    <w:qFormat/>
    <w:rsid w:val="00346B21"/>
    <w:pPr>
      <w:spacing w:before="160" w:after="120"/>
      <w:outlineLvl w:val="3"/>
    </w:pPr>
    <w:rPr>
      <w:sz w:val="22"/>
    </w:rPr>
  </w:style>
  <w:style w:type="paragraph" w:styleId="Heading5">
    <w:name w:val="heading 5"/>
    <w:basedOn w:val="HeadingBase"/>
    <w:next w:val="Normal"/>
    <w:link w:val="Heading5Char"/>
    <w:qFormat/>
    <w:rsid w:val="00346B21"/>
    <w:pPr>
      <w:spacing w:before="80"/>
      <w:outlineLvl w:val="4"/>
    </w:pPr>
    <w:rPr>
      <w:color w:val="918585"/>
      <w:sz w:val="20"/>
    </w:rPr>
  </w:style>
  <w:style w:type="paragraph" w:styleId="Heading6">
    <w:name w:val="heading 6"/>
    <w:basedOn w:val="HeadingBase"/>
    <w:next w:val="Normal"/>
    <w:link w:val="Heading6Char"/>
    <w:qFormat/>
    <w:rsid w:val="00346B21"/>
    <w:pPr>
      <w:spacing w:before="60"/>
      <w:outlineLvl w:val="5"/>
    </w:pPr>
    <w:rPr>
      <w:color w:val="918585"/>
      <w:sz w:val="20"/>
    </w:rPr>
  </w:style>
  <w:style w:type="paragraph" w:styleId="Heading7">
    <w:name w:val="heading 7"/>
    <w:basedOn w:val="Normal"/>
    <w:next w:val="Normal"/>
    <w:link w:val="Heading7Char"/>
    <w:qFormat/>
    <w:rsid w:val="00346B21"/>
    <w:pPr>
      <w:ind w:left="720"/>
      <w:outlineLvl w:val="6"/>
    </w:pPr>
    <w:rPr>
      <w:i/>
    </w:rPr>
  </w:style>
  <w:style w:type="paragraph" w:styleId="Heading8">
    <w:name w:val="heading 8"/>
    <w:basedOn w:val="Normal"/>
    <w:next w:val="Normal"/>
    <w:link w:val="Heading8Char"/>
    <w:qFormat/>
    <w:rsid w:val="00346B21"/>
    <w:pPr>
      <w:ind w:left="720"/>
      <w:outlineLvl w:val="7"/>
    </w:pPr>
    <w:rPr>
      <w:i/>
    </w:rPr>
  </w:style>
  <w:style w:type="paragraph" w:styleId="Heading9">
    <w:name w:val="heading 9"/>
    <w:basedOn w:val="Normal"/>
    <w:next w:val="Normal"/>
    <w:link w:val="Heading9Char"/>
    <w:qFormat/>
    <w:rsid w:val="00346B21"/>
    <w:pPr>
      <w:ind w:left="720"/>
      <w:outlineLvl w:val="8"/>
    </w:pPr>
    <w:rPr>
      <w:i/>
    </w:rPr>
  </w:style>
  <w:style w:type="character" w:default="1" w:styleId="DefaultParagraphFont">
    <w:name w:val="Default Paragraph Font"/>
    <w:uiPriority w:val="1"/>
    <w:unhideWhenUsed/>
    <w:rsid w:val="00346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B21"/>
  </w:style>
  <w:style w:type="character" w:customStyle="1" w:styleId="Heading1Char">
    <w:name w:val="Heading 1 Char"/>
    <w:basedOn w:val="DefaultParagraphFont"/>
    <w:link w:val="Heading1"/>
    <w:rsid w:val="00346B21"/>
    <w:rPr>
      <w:rFonts w:ascii="Times New Roman" w:eastAsia="Times New Roman" w:hAnsi="Times New Roman" w:cs="Times New Roman"/>
      <w:b/>
      <w:sz w:val="32"/>
      <w:szCs w:val="20"/>
      <w:lang w:eastAsia="en-US"/>
    </w:rPr>
  </w:style>
  <w:style w:type="paragraph" w:styleId="BodyText">
    <w:name w:val="Body Text"/>
    <w:basedOn w:val="Normal"/>
    <w:link w:val="BodyTextChar"/>
    <w:rsid w:val="00346B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B21"/>
    <w:rPr>
      <w:rFonts w:ascii="Times New Roman" w:eastAsia="Times New Roman" w:hAnsi="Times New Roman" w:cs="Times New Roman"/>
      <w:sz w:val="24"/>
      <w:lang w:eastAsia="en-US"/>
    </w:rPr>
  </w:style>
  <w:style w:type="paragraph" w:styleId="ListBullet">
    <w:name w:val="List Bullet"/>
    <w:basedOn w:val="List"/>
    <w:rsid w:val="00346B21"/>
    <w:pPr>
      <w:numPr>
        <w:numId w:val="12"/>
      </w:numPr>
      <w:tabs>
        <w:tab w:val="clear" w:pos="340"/>
      </w:tabs>
      <w:spacing w:before="40" w:after="40"/>
    </w:pPr>
  </w:style>
  <w:style w:type="character" w:customStyle="1" w:styleId="SpecialBold">
    <w:name w:val="Special Bold"/>
    <w:basedOn w:val="DefaultParagraphFont"/>
    <w:rsid w:val="00346B21"/>
    <w:rPr>
      <w:b/>
      <w:spacing w:val="0"/>
    </w:rPr>
  </w:style>
  <w:style w:type="paragraph" w:styleId="ListBullet2">
    <w:name w:val="List Bullet 2"/>
    <w:basedOn w:val="List2"/>
    <w:rsid w:val="00346B21"/>
    <w:pPr>
      <w:numPr>
        <w:numId w:val="13"/>
      </w:numPr>
      <w:tabs>
        <w:tab w:val="clear" w:pos="680"/>
      </w:tabs>
    </w:pPr>
  </w:style>
  <w:style w:type="character" w:styleId="Emphasis">
    <w:name w:val="Emphasis"/>
    <w:basedOn w:val="DefaultParagraphFont"/>
    <w:qFormat/>
    <w:rsid w:val="00346B21"/>
    <w:rPr>
      <w:i/>
    </w:rPr>
  </w:style>
  <w:style w:type="paragraph" w:customStyle="1" w:styleId="SuperHeading">
    <w:name w:val="SuperHeading"/>
    <w:basedOn w:val="Normal"/>
    <w:rsid w:val="00346B21"/>
    <w:pPr>
      <w:spacing w:before="240" w:after="120"/>
      <w:outlineLvl w:val="0"/>
    </w:pPr>
    <w:rPr>
      <w:rFonts w:ascii="Times New Roman" w:hAnsi="Times New Roman"/>
      <w:b/>
      <w:sz w:val="32"/>
    </w:rPr>
  </w:style>
  <w:style w:type="paragraph" w:customStyle="1" w:styleId="AllowPageBreak">
    <w:name w:val="AllowPageBreak"/>
    <w:rsid w:val="00346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B21"/>
    <w:rPr>
      <w:rFonts w:ascii="Courier New" w:eastAsia="Times New Roman" w:hAnsi="Courier New" w:cs="Times New Roman"/>
      <w:i/>
      <w:szCs w:val="20"/>
      <w:lang w:eastAsia="en-US"/>
    </w:rPr>
  </w:style>
  <w:style w:type="paragraph" w:customStyle="1" w:styleId="HeadingBase">
    <w:name w:val="Heading Base"/>
    <w:rsid w:val="00346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B21"/>
    <w:pPr>
      <w:tabs>
        <w:tab w:val="right" w:leader="dot" w:pos="9072"/>
      </w:tabs>
      <w:ind w:left="567"/>
    </w:pPr>
    <w:rPr>
      <w:szCs w:val="22"/>
    </w:rPr>
  </w:style>
  <w:style w:type="paragraph" w:customStyle="1" w:styleId="TOCBase">
    <w:name w:val="TOC Base"/>
    <w:rsid w:val="00346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B21"/>
    <w:pPr>
      <w:tabs>
        <w:tab w:val="right" w:leader="dot" w:pos="9072"/>
      </w:tabs>
      <w:spacing w:before="40" w:after="40"/>
      <w:ind w:left="284"/>
    </w:pPr>
    <w:rPr>
      <w:rFonts w:ascii="Times New Roman" w:hAnsi="Times New Roman"/>
    </w:rPr>
  </w:style>
  <w:style w:type="paragraph" w:styleId="TOC1">
    <w:name w:val="toc 1"/>
    <w:basedOn w:val="TOCBase"/>
    <w:next w:val="Normal"/>
    <w:rsid w:val="00346B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B21"/>
    <w:rPr>
      <w:rFonts w:ascii="Times New Roman" w:eastAsia="Times New Roman" w:hAnsi="Times New Roman" w:cs="Times New Roman"/>
      <w:sz w:val="16"/>
      <w:lang w:eastAsia="en-US"/>
    </w:rPr>
  </w:style>
  <w:style w:type="paragraph" w:styleId="Title">
    <w:name w:val="Title"/>
    <w:basedOn w:val="HeadingBase"/>
    <w:link w:val="TitleChar"/>
    <w:qFormat/>
    <w:rsid w:val="00346B21"/>
    <w:pPr>
      <w:spacing w:before="5040"/>
      <w:jc w:val="center"/>
    </w:pPr>
    <w:rPr>
      <w:sz w:val="48"/>
      <w:szCs w:val="72"/>
      <w:lang w:val="en-US"/>
    </w:rPr>
  </w:style>
  <w:style w:type="character" w:customStyle="1" w:styleId="TitleChar">
    <w:name w:val="Title Char"/>
    <w:basedOn w:val="DefaultParagraphFont"/>
    <w:link w:val="Title"/>
    <w:rsid w:val="00346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B21"/>
    <w:pPr>
      <w:tabs>
        <w:tab w:val="left" w:pos="3600"/>
        <w:tab w:val="left" w:pos="3958"/>
      </w:tabs>
    </w:pPr>
  </w:style>
  <w:style w:type="paragraph" w:styleId="List">
    <w:name w:val="List"/>
    <w:basedOn w:val="BodyText"/>
    <w:next w:val="BodyText"/>
    <w:rsid w:val="00346B21"/>
    <w:pPr>
      <w:tabs>
        <w:tab w:val="left" w:pos="340"/>
      </w:tabs>
      <w:spacing w:before="60" w:after="60"/>
      <w:ind w:left="340" w:hanging="340"/>
    </w:pPr>
  </w:style>
  <w:style w:type="paragraph" w:customStyle="1" w:styleId="Note">
    <w:name w:val="Note"/>
    <w:basedOn w:val="BodyText"/>
    <w:rsid w:val="00346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B21"/>
    <w:pPr>
      <w:framePr w:wrap="auto" w:hAnchor="text" w:y="6049"/>
    </w:pPr>
    <w:rPr>
      <w:color w:val="000000"/>
      <w:sz w:val="40"/>
    </w:rPr>
  </w:style>
  <w:style w:type="paragraph" w:customStyle="1" w:styleId="TOCTitle">
    <w:name w:val="TOCTitle"/>
    <w:basedOn w:val="Heading1"/>
    <w:rsid w:val="00346B21"/>
    <w:pPr>
      <w:spacing w:after="240"/>
      <w:jc w:val="center"/>
      <w:outlineLvl w:val="9"/>
    </w:pPr>
    <w:rPr>
      <w:caps/>
    </w:rPr>
  </w:style>
  <w:style w:type="paragraph" w:customStyle="1" w:styleId="Version">
    <w:name w:val="Version"/>
    <w:rsid w:val="00346B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B21"/>
    <w:pPr>
      <w:keepNext w:val="0"/>
      <w:tabs>
        <w:tab w:val="right" w:pos="4176"/>
      </w:tabs>
      <w:ind w:left="198" w:hanging="198"/>
    </w:pPr>
    <w:rPr>
      <w:rFonts w:ascii="Garamond" w:hAnsi="Garamond"/>
    </w:rPr>
  </w:style>
  <w:style w:type="paragraph" w:styleId="IndexHeading">
    <w:name w:val="index heading"/>
    <w:basedOn w:val="Normal"/>
    <w:next w:val="Index1"/>
    <w:semiHidden/>
    <w:rsid w:val="00346B21"/>
    <w:pPr>
      <w:spacing w:before="120" w:after="120"/>
    </w:pPr>
    <w:rPr>
      <w:rFonts w:ascii="Arial" w:hAnsi="Arial"/>
      <w:b/>
      <w:color w:val="918585"/>
      <w:sz w:val="24"/>
    </w:rPr>
  </w:style>
  <w:style w:type="paragraph" w:styleId="Header">
    <w:name w:val="header"/>
    <w:basedOn w:val="Normal"/>
    <w:link w:val="HeaderChar"/>
    <w:rsid w:val="00346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B21"/>
    <w:rPr>
      <w:rFonts w:ascii="Times New Roman" w:eastAsia="Times New Roman" w:hAnsi="Times New Roman" w:cs="Times New Roman"/>
      <w:sz w:val="16"/>
      <w:szCs w:val="20"/>
      <w:lang w:val="en-GB" w:eastAsia="en-US"/>
    </w:rPr>
  </w:style>
  <w:style w:type="paragraph" w:customStyle="1" w:styleId="Chapter">
    <w:name w:val="Chapter"/>
    <w:basedOn w:val="Normal"/>
    <w:rsid w:val="00346B21"/>
    <w:pPr>
      <w:spacing w:before="240"/>
    </w:pPr>
    <w:rPr>
      <w:rFonts w:ascii="Times New Roman" w:hAnsi="Times New Roman"/>
      <w:smallCaps/>
      <w:spacing w:val="80"/>
      <w:sz w:val="28"/>
    </w:rPr>
  </w:style>
  <w:style w:type="paragraph" w:customStyle="1" w:styleId="InChapter">
    <w:name w:val="InChapter"/>
    <w:basedOn w:val="Heading3"/>
    <w:rsid w:val="00346B21"/>
    <w:pPr>
      <w:spacing w:after="240"/>
      <w:outlineLvl w:val="9"/>
    </w:pPr>
    <w:rPr>
      <w:noProof/>
    </w:rPr>
  </w:style>
  <w:style w:type="paragraph" w:styleId="Index2">
    <w:name w:val="index 2"/>
    <w:basedOn w:val="Normal"/>
    <w:next w:val="Normal"/>
    <w:semiHidden/>
    <w:rsid w:val="00346B21"/>
    <w:pPr>
      <w:tabs>
        <w:tab w:val="right" w:pos="4176"/>
      </w:tabs>
      <w:ind w:left="568" w:hanging="284"/>
    </w:pPr>
    <w:rPr>
      <w:rFonts w:ascii="Garamond" w:hAnsi="Garamond"/>
    </w:rPr>
  </w:style>
  <w:style w:type="paragraph" w:customStyle="1" w:styleId="Byline">
    <w:name w:val="Byline"/>
    <w:rsid w:val="00346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B21"/>
    <w:pPr>
      <w:tabs>
        <w:tab w:val="clear" w:pos="3600"/>
        <w:tab w:val="clear" w:pos="3958"/>
      </w:tabs>
      <w:jc w:val="right"/>
    </w:pPr>
  </w:style>
  <w:style w:type="paragraph" w:styleId="Caption">
    <w:name w:val="caption"/>
    <w:basedOn w:val="BodyText"/>
    <w:next w:val="Normal"/>
    <w:qFormat/>
    <w:rsid w:val="00346B21"/>
    <w:pPr>
      <w:framePr w:w="2268" w:hSpace="181" w:vSpace="181" w:wrap="around" w:vAnchor="text" w:hAnchor="page" w:x="1135" w:y="285" w:anchorLock="1"/>
    </w:pPr>
    <w:rPr>
      <w:i/>
    </w:rPr>
  </w:style>
  <w:style w:type="paragraph" w:customStyle="1" w:styleId="MiniTOCTitle">
    <w:name w:val="MiniTOCTitle"/>
    <w:basedOn w:val="Heading4"/>
    <w:rsid w:val="00346B21"/>
    <w:pPr>
      <w:spacing w:before="240"/>
      <w:outlineLvl w:val="9"/>
    </w:pPr>
    <w:rPr>
      <w:noProof/>
      <w:sz w:val="24"/>
    </w:rPr>
  </w:style>
  <w:style w:type="paragraph" w:customStyle="1" w:styleId="MiniTOCItem">
    <w:name w:val="MiniTOCItem"/>
    <w:basedOn w:val="ListBullet"/>
    <w:rsid w:val="00346B21"/>
    <w:pPr>
      <w:numPr>
        <w:numId w:val="0"/>
      </w:numPr>
      <w:tabs>
        <w:tab w:val="right" w:leader="dot" w:pos="6521"/>
      </w:tabs>
      <w:spacing w:before="0" w:after="0"/>
    </w:pPr>
  </w:style>
  <w:style w:type="paragraph" w:customStyle="1" w:styleId="TOFTitle">
    <w:name w:val="TOFTitle"/>
    <w:basedOn w:val="TOCTitle"/>
    <w:rsid w:val="00346B21"/>
  </w:style>
  <w:style w:type="paragraph" w:styleId="TableofFigures">
    <w:name w:val="table of figures"/>
    <w:basedOn w:val="Normal"/>
    <w:next w:val="Normal"/>
    <w:semiHidden/>
    <w:rsid w:val="00346B21"/>
    <w:pPr>
      <w:tabs>
        <w:tab w:val="right" w:leader="dot" w:pos="9072"/>
      </w:tabs>
      <w:ind w:left="970" w:hanging="403"/>
    </w:pPr>
    <w:rPr>
      <w:rFonts w:ascii="Times New Roman" w:hAnsi="Times New Roman"/>
      <w:b/>
    </w:rPr>
  </w:style>
  <w:style w:type="paragraph" w:styleId="ListNumber">
    <w:name w:val="List Number"/>
    <w:basedOn w:val="List"/>
    <w:rsid w:val="00346B21"/>
    <w:pPr>
      <w:numPr>
        <w:numId w:val="15"/>
      </w:numPr>
      <w:tabs>
        <w:tab w:val="clear" w:pos="340"/>
      </w:tabs>
    </w:pPr>
  </w:style>
  <w:style w:type="character" w:customStyle="1" w:styleId="WingdingSymbols">
    <w:name w:val="Wingding Symbols"/>
    <w:rsid w:val="00346B21"/>
    <w:rPr>
      <w:rFonts w:ascii="Wingdings" w:hAnsi="Wingdings"/>
    </w:rPr>
  </w:style>
  <w:style w:type="paragraph" w:customStyle="1" w:styleId="TableHeading">
    <w:name w:val="Table Heading"/>
    <w:basedOn w:val="HeadingBase"/>
    <w:rsid w:val="00346B21"/>
    <w:pPr>
      <w:keepLines/>
      <w:pBdr>
        <w:bottom w:val="single" w:sz="6" w:space="1" w:color="918585"/>
      </w:pBdr>
      <w:spacing w:before="240"/>
    </w:pPr>
  </w:style>
  <w:style w:type="character" w:customStyle="1" w:styleId="HotSpot">
    <w:name w:val="HotSpot"/>
    <w:rsid w:val="00346B21"/>
    <w:rPr>
      <w:color w:val="0033CC"/>
      <w:u w:val="none"/>
    </w:rPr>
  </w:style>
  <w:style w:type="paragraph" w:customStyle="1" w:styleId="BodyTextRight">
    <w:name w:val="Body Text Right"/>
    <w:basedOn w:val="BodyText"/>
    <w:rsid w:val="00346B21"/>
    <w:pPr>
      <w:spacing w:before="0" w:after="0"/>
      <w:jc w:val="right"/>
    </w:pPr>
  </w:style>
  <w:style w:type="paragraph" w:styleId="Index3">
    <w:name w:val="index 3"/>
    <w:basedOn w:val="ListNumber2"/>
    <w:next w:val="Normal"/>
    <w:semiHidden/>
    <w:rsid w:val="00346B21"/>
    <w:pPr>
      <w:numPr>
        <w:numId w:val="0"/>
      </w:numPr>
      <w:tabs>
        <w:tab w:val="right" w:leader="dot" w:pos="4176"/>
      </w:tabs>
    </w:pPr>
  </w:style>
  <w:style w:type="paragraph" w:styleId="ListNumber2">
    <w:name w:val="List Number 2"/>
    <w:basedOn w:val="List2"/>
    <w:rsid w:val="00346B21"/>
    <w:pPr>
      <w:numPr>
        <w:numId w:val="10"/>
      </w:numPr>
      <w:tabs>
        <w:tab w:val="clear" w:pos="1060"/>
      </w:tabs>
    </w:pPr>
  </w:style>
  <w:style w:type="paragraph" w:customStyle="1" w:styleId="MarginNote">
    <w:name w:val="Margin Note"/>
    <w:basedOn w:val="BodyText"/>
    <w:rsid w:val="00346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B21"/>
    <w:rPr>
      <w:sz w:val="32"/>
    </w:rPr>
  </w:style>
  <w:style w:type="paragraph" w:customStyle="1" w:styleId="HeadingProcedure">
    <w:name w:val="Heading Procedure"/>
    <w:basedOn w:val="HeadingBase"/>
    <w:next w:val="Normal"/>
    <w:rsid w:val="00346B21"/>
    <w:pPr>
      <w:tabs>
        <w:tab w:val="left" w:pos="0"/>
      </w:tabs>
      <w:spacing w:before="120" w:after="60"/>
    </w:pPr>
    <w:rPr>
      <w:i/>
      <w:color w:val="918585"/>
      <w:sz w:val="22"/>
    </w:rPr>
  </w:style>
  <w:style w:type="paragraph" w:customStyle="1" w:styleId="TableBodyText">
    <w:name w:val="Table Body Text"/>
    <w:basedOn w:val="BodyText"/>
    <w:rsid w:val="00346B21"/>
    <w:pPr>
      <w:spacing w:before="60" w:after="60"/>
    </w:pPr>
  </w:style>
  <w:style w:type="paragraph" w:styleId="ListContinue">
    <w:name w:val="List Continue"/>
    <w:basedOn w:val="List"/>
    <w:rsid w:val="00346B21"/>
    <w:pPr>
      <w:ind w:firstLine="0"/>
    </w:pPr>
  </w:style>
  <w:style w:type="paragraph" w:customStyle="1" w:styleId="ListNote">
    <w:name w:val="List Note"/>
    <w:basedOn w:val="List"/>
    <w:rsid w:val="00346B21"/>
    <w:pPr>
      <w:pBdr>
        <w:top w:val="single" w:sz="6" w:space="2" w:color="918585"/>
        <w:bottom w:val="single" w:sz="6" w:space="2" w:color="918585"/>
      </w:pBdr>
      <w:tabs>
        <w:tab w:val="left" w:pos="1021"/>
      </w:tabs>
      <w:ind w:firstLine="0"/>
    </w:pPr>
  </w:style>
  <w:style w:type="paragraph" w:customStyle="1" w:styleId="Warning">
    <w:name w:val="Warning"/>
    <w:basedOn w:val="BodyText"/>
    <w:rsid w:val="00346B21"/>
    <w:pPr>
      <w:shd w:val="clear" w:color="auto" w:fill="D9D9D9"/>
      <w:tabs>
        <w:tab w:val="left" w:pos="992"/>
      </w:tabs>
      <w:ind w:left="119" w:right="119"/>
    </w:pPr>
    <w:rPr>
      <w:sz w:val="20"/>
    </w:rPr>
  </w:style>
  <w:style w:type="paragraph" w:customStyle="1" w:styleId="MarginIcons">
    <w:name w:val="Margin Icons"/>
    <w:basedOn w:val="BodyText"/>
    <w:rsid w:val="00346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B21"/>
    <w:rPr>
      <w:rFonts w:ascii="Courier New" w:hAnsi="Courier New"/>
    </w:rPr>
  </w:style>
  <w:style w:type="paragraph" w:customStyle="1" w:styleId="NoteBullet">
    <w:name w:val="Note Bullet"/>
    <w:basedOn w:val="Note"/>
    <w:rsid w:val="00346B21"/>
    <w:pPr>
      <w:tabs>
        <w:tab w:val="clear" w:pos="680"/>
      </w:tabs>
      <w:spacing w:before="60" w:after="60"/>
    </w:pPr>
  </w:style>
  <w:style w:type="paragraph" w:customStyle="1" w:styleId="SubHeading2">
    <w:name w:val="SubHeading2"/>
    <w:basedOn w:val="HeadingBase"/>
    <w:rsid w:val="00346B21"/>
    <w:pPr>
      <w:spacing w:before="240" w:after="60"/>
    </w:pPr>
    <w:rPr>
      <w:sz w:val="20"/>
    </w:rPr>
  </w:style>
  <w:style w:type="paragraph" w:customStyle="1" w:styleId="SubHeading1">
    <w:name w:val="SubHeading1"/>
    <w:basedOn w:val="HeadingBase"/>
    <w:rsid w:val="00346B21"/>
    <w:pPr>
      <w:spacing w:before="240" w:after="60"/>
    </w:pPr>
    <w:rPr>
      <w:color w:val="918585"/>
      <w:sz w:val="22"/>
    </w:rPr>
  </w:style>
  <w:style w:type="paragraph" w:customStyle="1" w:styleId="SideHeading">
    <w:name w:val="Side Heading"/>
    <w:basedOn w:val="HeadingBase"/>
    <w:rsid w:val="00346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B21"/>
    <w:pPr>
      <w:tabs>
        <w:tab w:val="num" w:pos="360"/>
      </w:tabs>
    </w:pPr>
  </w:style>
  <w:style w:type="paragraph" w:styleId="PlainText">
    <w:name w:val="Plain Text"/>
    <w:basedOn w:val="Normal"/>
    <w:link w:val="PlainTextChar"/>
    <w:rsid w:val="00346B21"/>
    <w:rPr>
      <w:sz w:val="20"/>
    </w:rPr>
  </w:style>
  <w:style w:type="character" w:customStyle="1" w:styleId="PlainTextChar">
    <w:name w:val="Plain Text Char"/>
    <w:basedOn w:val="DefaultParagraphFont"/>
    <w:link w:val="PlainText"/>
    <w:rsid w:val="00346B21"/>
    <w:rPr>
      <w:rFonts w:ascii="Courier New" w:eastAsia="Times New Roman" w:hAnsi="Courier New" w:cs="Times New Roman"/>
      <w:sz w:val="20"/>
      <w:szCs w:val="20"/>
      <w:lang w:eastAsia="en-US"/>
    </w:rPr>
  </w:style>
  <w:style w:type="character" w:customStyle="1" w:styleId="MenuOption">
    <w:name w:val="Menu Option"/>
    <w:basedOn w:val="DefaultParagraphFont"/>
    <w:rsid w:val="00346B21"/>
    <w:rPr>
      <w:b/>
      <w:smallCaps/>
    </w:rPr>
  </w:style>
  <w:style w:type="paragraph" w:customStyle="1" w:styleId="TableListNumber">
    <w:name w:val="Table List Number"/>
    <w:basedOn w:val="ListNumber"/>
    <w:rsid w:val="00346B21"/>
    <w:pPr>
      <w:numPr>
        <w:numId w:val="0"/>
      </w:numPr>
    </w:pPr>
  </w:style>
  <w:style w:type="paragraph" w:styleId="TOC4">
    <w:name w:val="toc 4"/>
    <w:basedOn w:val="TOCBase"/>
    <w:next w:val="Normal"/>
    <w:semiHidden/>
    <w:rsid w:val="00346B21"/>
    <w:pPr>
      <w:tabs>
        <w:tab w:val="right" w:leader="dot" w:pos="9071"/>
      </w:tabs>
      <w:ind w:left="1701"/>
    </w:pPr>
  </w:style>
  <w:style w:type="paragraph" w:customStyle="1" w:styleId="ListAlpha">
    <w:name w:val="List Alpha"/>
    <w:basedOn w:val="List"/>
    <w:rsid w:val="00346B21"/>
    <w:pPr>
      <w:numPr>
        <w:numId w:val="9"/>
      </w:numPr>
    </w:pPr>
  </w:style>
  <w:style w:type="paragraph" w:customStyle="1" w:styleId="ListAlpha2">
    <w:name w:val="List Alpha 2"/>
    <w:basedOn w:val="List2"/>
    <w:rsid w:val="00346B21"/>
    <w:pPr>
      <w:numPr>
        <w:numId w:val="8"/>
      </w:numPr>
    </w:pPr>
  </w:style>
  <w:style w:type="paragraph" w:styleId="List2">
    <w:name w:val="List 2"/>
    <w:basedOn w:val="BodyText"/>
    <w:rsid w:val="00346B21"/>
    <w:pPr>
      <w:tabs>
        <w:tab w:val="left" w:pos="680"/>
      </w:tabs>
      <w:spacing w:before="60" w:after="60"/>
      <w:ind w:left="680" w:hanging="340"/>
    </w:pPr>
  </w:style>
  <w:style w:type="paragraph" w:styleId="List3">
    <w:name w:val="List 3"/>
    <w:basedOn w:val="BodyText"/>
    <w:rsid w:val="00346B21"/>
    <w:pPr>
      <w:tabs>
        <w:tab w:val="left" w:pos="1021"/>
      </w:tabs>
      <w:spacing w:before="60" w:after="60"/>
      <w:ind w:left="1020" w:hanging="340"/>
    </w:pPr>
  </w:style>
  <w:style w:type="paragraph" w:styleId="List4">
    <w:name w:val="List 4"/>
    <w:basedOn w:val="BodyText"/>
    <w:rsid w:val="00346B21"/>
    <w:pPr>
      <w:tabs>
        <w:tab w:val="left" w:pos="1361"/>
      </w:tabs>
      <w:spacing w:before="60" w:after="60"/>
      <w:ind w:left="1361" w:hanging="340"/>
    </w:pPr>
  </w:style>
  <w:style w:type="paragraph" w:styleId="List5">
    <w:name w:val="List 5"/>
    <w:basedOn w:val="BodyText"/>
    <w:rsid w:val="00346B21"/>
    <w:pPr>
      <w:tabs>
        <w:tab w:val="left" w:pos="1701"/>
      </w:tabs>
      <w:spacing w:before="60" w:after="60"/>
      <w:ind w:left="1701" w:hanging="340"/>
    </w:pPr>
  </w:style>
  <w:style w:type="paragraph" w:styleId="ListBullet3">
    <w:name w:val="List Bullet 3"/>
    <w:basedOn w:val="List3"/>
    <w:rsid w:val="00346B21"/>
    <w:pPr>
      <w:numPr>
        <w:numId w:val="14"/>
      </w:numPr>
      <w:tabs>
        <w:tab w:val="clear" w:pos="1021"/>
      </w:tabs>
      <w:ind w:left="1037" w:hanging="357"/>
    </w:pPr>
  </w:style>
  <w:style w:type="paragraph" w:styleId="ListBullet4">
    <w:name w:val="List Bullet 4"/>
    <w:basedOn w:val="List4"/>
    <w:rsid w:val="00346B21"/>
    <w:pPr>
      <w:numPr>
        <w:numId w:val="3"/>
      </w:numPr>
      <w:tabs>
        <w:tab w:val="clear" w:pos="1361"/>
      </w:tabs>
    </w:pPr>
  </w:style>
  <w:style w:type="paragraph" w:styleId="ListBullet5">
    <w:name w:val="List Bullet 5"/>
    <w:basedOn w:val="List5"/>
    <w:rsid w:val="00346B21"/>
    <w:pPr>
      <w:numPr>
        <w:numId w:val="4"/>
      </w:numPr>
    </w:pPr>
  </w:style>
  <w:style w:type="paragraph" w:styleId="ListContinue2">
    <w:name w:val="List Continue 2"/>
    <w:basedOn w:val="List2"/>
    <w:rsid w:val="00346B21"/>
    <w:pPr>
      <w:ind w:firstLine="0"/>
    </w:pPr>
  </w:style>
  <w:style w:type="paragraph" w:styleId="ListContinue3">
    <w:name w:val="List Continue 3"/>
    <w:basedOn w:val="List3"/>
    <w:rsid w:val="00346B21"/>
    <w:pPr>
      <w:ind w:left="1021" w:firstLine="0"/>
    </w:pPr>
  </w:style>
  <w:style w:type="paragraph" w:styleId="ListContinue4">
    <w:name w:val="List Continue 4"/>
    <w:basedOn w:val="List4"/>
    <w:rsid w:val="00346B21"/>
    <w:pPr>
      <w:ind w:firstLine="0"/>
    </w:pPr>
  </w:style>
  <w:style w:type="paragraph" w:styleId="ListContinue5">
    <w:name w:val="List Continue 5"/>
    <w:basedOn w:val="List5"/>
    <w:rsid w:val="00346B21"/>
    <w:pPr>
      <w:ind w:firstLine="0"/>
    </w:pPr>
  </w:style>
  <w:style w:type="paragraph" w:styleId="ListNumber3">
    <w:name w:val="List Number 3"/>
    <w:basedOn w:val="List3"/>
    <w:rsid w:val="00346B21"/>
    <w:pPr>
      <w:numPr>
        <w:numId w:val="5"/>
      </w:numPr>
    </w:pPr>
  </w:style>
  <w:style w:type="paragraph" w:styleId="ListNumber4">
    <w:name w:val="List Number 4"/>
    <w:basedOn w:val="List4"/>
    <w:rsid w:val="00346B21"/>
    <w:pPr>
      <w:numPr>
        <w:numId w:val="6"/>
      </w:numPr>
    </w:pPr>
  </w:style>
  <w:style w:type="paragraph" w:styleId="ListNumber5">
    <w:name w:val="List Number 5"/>
    <w:basedOn w:val="List5"/>
    <w:rsid w:val="00346B21"/>
    <w:pPr>
      <w:numPr>
        <w:numId w:val="7"/>
      </w:numPr>
    </w:pPr>
  </w:style>
  <w:style w:type="paragraph" w:styleId="BlockText">
    <w:name w:val="Block Text"/>
    <w:basedOn w:val="Normal"/>
    <w:rsid w:val="00346B21"/>
    <w:pPr>
      <w:spacing w:after="120"/>
      <w:ind w:left="1440" w:right="1440"/>
    </w:pPr>
  </w:style>
  <w:style w:type="character" w:customStyle="1" w:styleId="Subscript">
    <w:name w:val="Subscript"/>
    <w:basedOn w:val="DefaultParagraphFont"/>
    <w:rsid w:val="00346B21"/>
    <w:rPr>
      <w:sz w:val="16"/>
      <w:vertAlign w:val="subscript"/>
    </w:rPr>
  </w:style>
  <w:style w:type="character" w:customStyle="1" w:styleId="Superscript">
    <w:name w:val="Superscript"/>
    <w:basedOn w:val="DefaultParagraphFont"/>
    <w:rsid w:val="00346B21"/>
    <w:rPr>
      <w:sz w:val="16"/>
      <w:vertAlign w:val="superscript"/>
    </w:rPr>
  </w:style>
  <w:style w:type="character" w:customStyle="1" w:styleId="Symbols">
    <w:name w:val="Symbols"/>
    <w:basedOn w:val="DefaultParagraphFont"/>
    <w:rsid w:val="00346B21"/>
    <w:rPr>
      <w:rFonts w:ascii="Symbol" w:hAnsi="Symbol"/>
    </w:rPr>
  </w:style>
  <w:style w:type="character" w:customStyle="1" w:styleId="MenuOptions">
    <w:name w:val="Menu Options"/>
    <w:basedOn w:val="DefaultParagraphFont"/>
    <w:rsid w:val="00346B21"/>
    <w:rPr>
      <w:rFonts w:ascii="Arial Narrow" w:hAnsi="Arial Narrow"/>
      <w:smallCaps/>
    </w:rPr>
  </w:style>
  <w:style w:type="character" w:customStyle="1" w:styleId="Buttons">
    <w:name w:val="Buttons"/>
    <w:basedOn w:val="DefaultParagraphFont"/>
    <w:rsid w:val="00346B21"/>
    <w:rPr>
      <w:b/>
    </w:rPr>
  </w:style>
  <w:style w:type="character" w:customStyle="1" w:styleId="Underlined">
    <w:name w:val="Underlined"/>
    <w:basedOn w:val="DefaultParagraphFont"/>
    <w:rsid w:val="00346B21"/>
    <w:rPr>
      <w:u w:val="single"/>
    </w:rPr>
  </w:style>
  <w:style w:type="paragraph" w:customStyle="1" w:styleId="TableBodyTextRight">
    <w:name w:val="Table Body Text Right"/>
    <w:basedOn w:val="TableBodyText"/>
    <w:rsid w:val="00346B21"/>
    <w:pPr>
      <w:widowControl w:val="0"/>
      <w:autoSpaceDE w:val="0"/>
      <w:autoSpaceDN w:val="0"/>
      <w:adjustRightInd w:val="0"/>
      <w:jc w:val="right"/>
    </w:pPr>
    <w:rPr>
      <w:rFonts w:cs="Arial"/>
      <w:szCs w:val="18"/>
    </w:rPr>
  </w:style>
  <w:style w:type="paragraph" w:customStyle="1" w:styleId="CopyrightText">
    <w:name w:val="Copyright Text"/>
    <w:basedOn w:val="BodyText"/>
    <w:rsid w:val="00346B21"/>
    <w:rPr>
      <w:sz w:val="18"/>
    </w:rPr>
  </w:style>
  <w:style w:type="paragraph" w:customStyle="1" w:styleId="BodySmallRight">
    <w:name w:val="Body Small Right"/>
    <w:basedOn w:val="BodyTextRight"/>
    <w:rsid w:val="00346B21"/>
    <w:rPr>
      <w:sz w:val="18"/>
      <w:szCs w:val="18"/>
    </w:rPr>
  </w:style>
  <w:style w:type="paragraph" w:customStyle="1" w:styleId="MarginEdition">
    <w:name w:val="Margin Edition"/>
    <w:basedOn w:val="MarginNote"/>
    <w:rsid w:val="00346B21"/>
    <w:pPr>
      <w:spacing w:before="0" w:after="0"/>
    </w:pPr>
    <w:rPr>
      <w:rFonts w:ascii="Times New Roman" w:hAnsi="Times New Roman"/>
      <w:color w:val="999999"/>
    </w:rPr>
  </w:style>
  <w:style w:type="paragraph" w:customStyle="1" w:styleId="Spacer">
    <w:name w:val="Spacer"/>
    <w:basedOn w:val="Normal"/>
    <w:rsid w:val="00346B21"/>
    <w:rPr>
      <w:sz w:val="2"/>
      <w:szCs w:val="2"/>
    </w:rPr>
  </w:style>
  <w:style w:type="character" w:customStyle="1" w:styleId="Small">
    <w:name w:val="Small"/>
    <w:basedOn w:val="DefaultParagraphFont"/>
    <w:rsid w:val="00346B21"/>
    <w:rPr>
      <w:sz w:val="16"/>
    </w:rPr>
  </w:style>
  <w:style w:type="paragraph" w:customStyle="1" w:styleId="WideTable">
    <w:name w:val="Wide Table"/>
    <w:basedOn w:val="Normal"/>
    <w:rsid w:val="00346B21"/>
    <w:pPr>
      <w:ind w:left="-1418"/>
    </w:pPr>
    <w:rPr>
      <w:sz w:val="2"/>
      <w:szCs w:val="2"/>
    </w:rPr>
  </w:style>
  <w:style w:type="character" w:styleId="PageNumber">
    <w:name w:val="page number"/>
    <w:basedOn w:val="DefaultParagraphFont"/>
    <w:rsid w:val="00346B21"/>
  </w:style>
  <w:style w:type="paragraph" w:styleId="Quote">
    <w:name w:val="Quote"/>
    <w:basedOn w:val="Heading1"/>
    <w:link w:val="QuoteChar"/>
    <w:qFormat/>
    <w:rsid w:val="00346B21"/>
    <w:rPr>
      <w:b w:val="0"/>
      <w:sz w:val="72"/>
      <w:szCs w:val="72"/>
      <w:lang w:val="en-NZ"/>
    </w:rPr>
  </w:style>
  <w:style w:type="character" w:customStyle="1" w:styleId="QuoteChar">
    <w:name w:val="Quote Char"/>
    <w:basedOn w:val="DefaultParagraphFont"/>
    <w:link w:val="Quote"/>
    <w:rsid w:val="00346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B21"/>
    <w:pPr>
      <w:pageBreakBefore/>
    </w:pPr>
  </w:style>
  <w:style w:type="paragraph" w:customStyle="1" w:styleId="Border">
    <w:name w:val="Border"/>
    <w:basedOn w:val="Normal"/>
    <w:qFormat/>
    <w:rsid w:val="00346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B21"/>
    <w:rPr>
      <w:b/>
      <w:bCs/>
      <w:i/>
      <w:iCs/>
      <w:color w:val="auto"/>
    </w:rPr>
  </w:style>
  <w:style w:type="paragraph" w:styleId="IntenseQuote">
    <w:name w:val="Intense Quote"/>
    <w:basedOn w:val="Normal"/>
    <w:next w:val="Normal"/>
    <w:link w:val="IntenseQuoteChar"/>
    <w:uiPriority w:val="30"/>
    <w:qFormat/>
    <w:rsid w:val="00346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B21"/>
    <w:rPr>
      <w:smallCaps/>
      <w:color w:val="auto"/>
      <w:u w:val="single"/>
    </w:rPr>
  </w:style>
  <w:style w:type="character" w:styleId="IntenseReference">
    <w:name w:val="Intense Reference"/>
    <w:basedOn w:val="DefaultParagraphFont"/>
    <w:uiPriority w:val="32"/>
    <w:qFormat/>
    <w:rsid w:val="00346B21"/>
    <w:rPr>
      <w:b/>
      <w:bCs/>
      <w:smallCaps/>
      <w:color w:val="auto"/>
      <w:spacing w:val="5"/>
      <w:u w:val="single"/>
    </w:rPr>
  </w:style>
  <w:style w:type="paragraph" w:customStyle="1" w:styleId="2ColumnHeading">
    <w:name w:val="2Column Heading"/>
    <w:basedOn w:val="BodyText"/>
    <w:qFormat/>
    <w:rsid w:val="00346B21"/>
    <w:pPr>
      <w:spacing w:after="60"/>
      <w:ind w:left="-2268"/>
    </w:pPr>
    <w:rPr>
      <w:b/>
    </w:rPr>
  </w:style>
  <w:style w:type="paragraph" w:customStyle="1" w:styleId="Heading1TOC">
    <w:name w:val="Heading1 TOC"/>
    <w:basedOn w:val="Normal"/>
    <w:qFormat/>
    <w:rsid w:val="00346B21"/>
    <w:pPr>
      <w:spacing w:before="240" w:after="120"/>
    </w:pPr>
    <w:rPr>
      <w:rFonts w:ascii="Times New Roman" w:hAnsi="Times New Roman"/>
      <w:b/>
      <w:sz w:val="32"/>
    </w:rPr>
  </w:style>
  <w:style w:type="paragraph" w:customStyle="1" w:styleId="Heading2TOC">
    <w:name w:val="Heading2 TOC"/>
    <w:basedOn w:val="Normal"/>
    <w:qFormat/>
    <w:rsid w:val="00346B21"/>
    <w:pPr>
      <w:spacing w:before="240" w:after="60"/>
    </w:pPr>
    <w:rPr>
      <w:rFonts w:ascii="Times New Roman" w:hAnsi="Times New Roman"/>
      <w:b/>
      <w:sz w:val="28"/>
    </w:rPr>
  </w:style>
  <w:style w:type="character" w:customStyle="1" w:styleId="Underline">
    <w:name w:val="Underline"/>
    <w:basedOn w:val="DefaultParagraphFont"/>
    <w:qFormat/>
    <w:rsid w:val="00346B21"/>
    <w:rPr>
      <w:u w:val="single"/>
    </w:rPr>
  </w:style>
  <w:style w:type="character" w:customStyle="1" w:styleId="BoldandItalics">
    <w:name w:val="Bold and Italics"/>
    <w:qFormat/>
    <w:rsid w:val="00346B21"/>
    <w:rPr>
      <w:b/>
      <w:i/>
      <w:u w:val="none"/>
    </w:rPr>
  </w:style>
  <w:style w:type="paragraph" w:styleId="BalloonText">
    <w:name w:val="Balloon Text"/>
    <w:basedOn w:val="Normal"/>
    <w:link w:val="BalloonTextChar"/>
    <w:rsid w:val="00346B21"/>
    <w:rPr>
      <w:rFonts w:ascii="Tahoma" w:hAnsi="Tahoma" w:cs="Tahoma"/>
      <w:sz w:val="16"/>
      <w:szCs w:val="16"/>
    </w:rPr>
  </w:style>
  <w:style w:type="character" w:customStyle="1" w:styleId="BalloonTextChar">
    <w:name w:val="Balloon Text Char"/>
    <w:basedOn w:val="DefaultParagraphFont"/>
    <w:link w:val="BalloonText"/>
    <w:rsid w:val="00346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B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B21"/>
    <w:rPr>
      <w:b/>
      <w:color w:val="660033"/>
      <w:spacing w:val="0"/>
    </w:rPr>
  </w:style>
  <w:style w:type="paragraph" w:customStyle="1" w:styleId="Nameditemlist">
    <w:name w:val="Named item list"/>
    <w:basedOn w:val="BodyText"/>
    <w:qFormat/>
    <w:rsid w:val="00346B21"/>
    <w:pPr>
      <w:tabs>
        <w:tab w:val="left" w:pos="2835"/>
      </w:tabs>
      <w:ind w:left="2835" w:hanging="2835"/>
    </w:pPr>
  </w:style>
  <w:style w:type="paragraph" w:customStyle="1" w:styleId="BodyTextnopadding">
    <w:name w:val="Body Text no padding"/>
    <w:basedOn w:val="BodyText"/>
    <w:qFormat/>
    <w:rsid w:val="00346B21"/>
    <w:pPr>
      <w:spacing w:before="0" w:after="0"/>
    </w:pPr>
  </w:style>
  <w:style w:type="paragraph" w:customStyle="1" w:styleId="BodyTextBold">
    <w:name w:val="Body Text Bold"/>
    <w:basedOn w:val="BodyText"/>
    <w:qFormat/>
    <w:rsid w:val="00346B21"/>
    <w:rPr>
      <w:b/>
    </w:rPr>
  </w:style>
  <w:style w:type="character" w:styleId="Hyperlink">
    <w:name w:val="Hyperlink"/>
    <w:basedOn w:val="DefaultParagraphFont"/>
    <w:uiPriority w:val="99"/>
    <w:unhideWhenUsed/>
    <w:rsid w:val="007A3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6133</Characters>
  <Application>Microsoft Office Word</Application>
  <DocSecurity>0</DocSecurity>
  <Lines>191</Lines>
  <Paragraphs>122</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MEM23117 Evaluate microcontroller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