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128" w:rsidP="00440128">
      <w:pPr>
        <w:pStyle w:val="Title"/>
      </w:pPr>
      <w:r>
        <w:fldChar w:fldCharType="begin"/>
      </w:r>
      <w:r>
        <w:instrText xml:space="preserve"> TITLE   \* MERGEFORMAT </w:instrText>
      </w:r>
      <w:r>
        <w:fldChar w:fldCharType="separate"/>
      </w:r>
      <w:r>
        <w:t>MEM23116 Evaluate programmable logic controller and related control system component applications</w:t>
      </w:r>
      <w:r>
        <w:fldChar w:fldCharType="end"/>
      </w:r>
    </w:p>
    <w:p w:rsidR="00440128" w:rsidP="00440128">
      <w:pPr>
        <w:pStyle w:val="Version"/>
        <w:sectPr w:rsidSect="008D19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9EC" w:rsidP="008D19EC">
      <w:pPr>
        <w:pStyle w:val="SuperHeading"/>
      </w:pPr>
      <w:r w:rsidRPr="008D19EC">
        <w:t>MEM23116 Evaluate programmable logic controller and related control system component applications</w:t>
      </w:r>
    </w:p>
    <w:p w:rsidR="00000000" w:rsidRPr="008D19EC" w:rsidP="008D19EC">
      <w:pPr>
        <w:pStyle w:val="Heading1"/>
      </w:pPr>
      <w:bookmarkStart w:id="1" w:name="O_944056"/>
      <w:bookmarkEnd w:id="1"/>
      <w:r w:rsidRPr="008D19EC">
        <w:t>Modification History</w:t>
      </w:r>
    </w:p>
    <w:p w:rsidR="00440128" w:rsidP="00440128">
      <w:pPr>
        <w:pStyle w:val="BodyText"/>
      </w:pPr>
      <w:r w:rsidRPr="008D19EC">
        <w:t>Release 1. Supersedes and is equivalent to MEM23116A Evaluate programmable logic controller and related control system component applications.</w:t>
      </w:r>
    </w:p>
    <w:p w:rsidR="00000000" w:rsidRPr="008D19EC" w:rsidP="008D19EC">
      <w:pPr>
        <w:pStyle w:val="Heading1"/>
      </w:pPr>
      <w:bookmarkStart w:id="2" w:name="O_944064"/>
      <w:bookmarkEnd w:id="2"/>
      <w:r w:rsidRPr="008D19EC">
        <w:t>Application</w:t>
      </w:r>
    </w:p>
    <w:p w:rsidR="00000000" w:rsidRPr="008D19EC" w:rsidP="00440128">
      <w:pPr>
        <w:pStyle w:val="BodyText"/>
      </w:pPr>
      <w:r w:rsidRPr="008D19EC">
        <w:t>This unit of competency defines the skills and knowledge required to evaluate autom</w:t>
      </w:r>
      <w:r w:rsidRPr="008D19EC">
        <w:t>ated devices, machines and processes controlled by programmable logic controllers (PLCs). It includes basic PLC architecture, associated control system components and programming techniques, work health and safety (WHS) compliance requirements, risk manage</w:t>
      </w:r>
      <w:r w:rsidRPr="008D19EC">
        <w:t>ment, automation safety, networking for data sharing and remote control, and broad implications of wiring rules.</w:t>
      </w:r>
    </w:p>
    <w:p w:rsidR="00000000" w:rsidRPr="008D19EC" w:rsidP="00440128">
      <w:pPr>
        <w:pStyle w:val="BodyText"/>
      </w:pPr>
      <w:r w:rsidRPr="008D19EC">
        <w:t>This unit applies to evaluations of PLCs and their use in engineering applications. The evaluation can be undertaken as part of a PLC selection</w:t>
      </w:r>
      <w:r w:rsidRPr="008D19EC">
        <w:t xml:space="preserve"> process or to assess PLC and control system condition or efficiency.</w:t>
      </w:r>
    </w:p>
    <w:p w:rsidR="00000000" w:rsidRPr="008D19EC" w:rsidP="00440128">
      <w:pPr>
        <w:pStyle w:val="BodyText"/>
      </w:pPr>
      <w:r w:rsidRPr="008D19EC">
        <w:t>It is suitable for people working as automation, mechatronics or maintenance technicians or for those pursuing qualifications or careers in those disciplines.</w:t>
      </w:r>
    </w:p>
    <w:p w:rsidR="00440128" w:rsidP="00440128">
      <w:pPr>
        <w:pStyle w:val="BodyText"/>
      </w:pPr>
      <w:r w:rsidRPr="008D19EC">
        <w:t>No licensing, legislative o</w:t>
      </w:r>
      <w:r w:rsidRPr="008D19EC">
        <w:t>r certification requirements apply to this unit at the time of publication.</w:t>
      </w:r>
    </w:p>
    <w:p w:rsidR="00000000" w:rsidRPr="008D19EC" w:rsidP="008D19EC">
      <w:pPr>
        <w:pStyle w:val="Heading1"/>
      </w:pPr>
      <w:bookmarkStart w:id="3" w:name="O_944063"/>
      <w:bookmarkEnd w:id="3"/>
      <w:r w:rsidRPr="008D19EC">
        <w:t>Pre-requisite Unit</w:t>
      </w:r>
    </w:p>
    <w:p w:rsidR="00000000" w:rsidRPr="008D19EC" w:rsidP="00440128">
      <w:pPr>
        <w:pStyle w:val="Heading3"/>
      </w:pPr>
      <w:r w:rsidRPr="008D19EC">
        <w:t>MEM23004 Apply technical mathematics</w:t>
      </w:r>
    </w:p>
    <w:p w:rsidR="00000000" w:rsidRPr="008D19EC" w:rsidP="00440128">
      <w:pPr>
        <w:pStyle w:val="BodyText"/>
      </w:pPr>
      <w:r w:rsidRPr="008D19EC">
        <w:t>MEM23111 Select electrical equipment and components for engineering applications</w:t>
      </w:r>
    </w:p>
    <w:p w:rsidR="00440128" w:rsidP="00440128">
      <w:pPr>
        <w:pStyle w:val="BodyText"/>
      </w:pPr>
      <w:r w:rsidRPr="008D19EC">
        <w:t>MEM23112 Investigate elec</w:t>
      </w:r>
      <w:r w:rsidRPr="008D19EC">
        <w:t>trical and electronic controllers in engineering applications</w:t>
      </w:r>
    </w:p>
    <w:p w:rsidR="00000000" w:rsidRPr="008D19EC" w:rsidP="008D19EC">
      <w:pPr>
        <w:pStyle w:val="Heading1"/>
      </w:pPr>
      <w:bookmarkStart w:id="4" w:name="O_944062"/>
      <w:bookmarkEnd w:id="4"/>
      <w:r w:rsidRPr="008D19EC">
        <w:t>Competency Field</w:t>
      </w:r>
    </w:p>
    <w:p w:rsidR="00440128" w:rsidP="00440128">
      <w:pPr>
        <w:pStyle w:val="BodyText"/>
      </w:pPr>
      <w:r w:rsidRPr="008D19EC">
        <w:t>Engineering science</w:t>
      </w:r>
    </w:p>
    <w:p w:rsidR="00000000" w:rsidRPr="008D19EC" w:rsidP="008D19EC">
      <w:pPr>
        <w:pStyle w:val="Heading1"/>
      </w:pPr>
      <w:bookmarkStart w:id="5" w:name="O_944060"/>
      <w:bookmarkEnd w:id="5"/>
      <w:r w:rsidRPr="008D19EC">
        <w:t>Elements and Performance Criteria</w:t>
      </w:r>
    </w:p>
    <w:tbl>
      <w:tblPr>
        <w:tblW w:w="9639" w:type="dxa"/>
        <w:tblLayout w:type="fixed"/>
        <w:tblCellMar>
          <w:left w:w="62" w:type="dxa"/>
          <w:right w:w="62" w:type="dxa"/>
        </w:tblCellMar>
        <w:tblLook w:val="0000"/>
      </w:tblPr>
      <w:tblGrid>
        <w:gridCol w:w="2531"/>
        <w:gridCol w:w="7108"/>
      </w:tblGrid>
      <w:tr w:rsidTr="0044012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19EC" w:rsidP="008D19EC">
            <w:pPr>
              <w:pStyle w:val="BodyText"/>
            </w:pPr>
            <w:r w:rsidRPr="008D19E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19EC">
            <w:pPr>
              <w:pStyle w:val="BodyText"/>
              <w:rPr>
                <w:lang w:val="en-NZ"/>
              </w:rPr>
            </w:pPr>
            <w:r w:rsidRPr="008D19EC">
              <w:rPr>
                <w:rStyle w:val="SpecialBold"/>
              </w:rPr>
              <w:t>Performance Criteria</w:t>
            </w:r>
          </w:p>
        </w:tc>
      </w:tr>
      <w:tr w:rsidTr="0044012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BodyText"/>
            </w:pPr>
            <w:r w:rsidRPr="008D19EC">
              <w:rPr>
                <w:rStyle w:val="Emphasis"/>
              </w:rPr>
              <w:t xml:space="preserve">Elements describe the </w:t>
            </w:r>
            <w:r w:rsidRPr="008D19EC">
              <w:t xml:space="preserve">essential </w:t>
            </w:r>
            <w:r w:rsidRPr="008D19E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rPr>
                <w:rStyle w:val="Emphasis"/>
              </w:rPr>
              <w:t>Performance criteria describe the performance needed to demonstrate achievement of the element.</w:t>
            </w:r>
          </w:p>
        </w:tc>
      </w:tr>
      <w:tr w:rsidTr="004401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1. Determine scope of evaluation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BodyText"/>
            </w:pPr>
            <w:r w:rsidRPr="008D19EC">
              <w:t>1.1 Confirm and apply safe electrical working practice</w:t>
            </w:r>
          </w:p>
          <w:p w:rsidR="00000000" w:rsidRPr="008D19EC" w:rsidP="008D19EC">
            <w:pPr>
              <w:pStyle w:val="BodyText"/>
            </w:pPr>
            <w:r w:rsidRPr="008D19EC">
              <w:t>1.2 Review the currents and voltages present in the PLC applications an</w:t>
            </w:r>
            <w:r w:rsidRPr="008D19EC">
              <w:t>d check for regulatory requirements and dangerous high currents and voltages, including effects on humans and on application equipment and components</w:t>
            </w:r>
          </w:p>
          <w:p w:rsidR="00000000" w:rsidRPr="008D19EC" w:rsidP="008D19EC">
            <w:pPr>
              <w:pStyle w:val="BodyText"/>
            </w:pPr>
            <w:r w:rsidRPr="008D19EC">
              <w:t>1.3 Identify WHS and regulatory requirements codes of practice, standards, risk management and organisatio</w:t>
            </w:r>
            <w:r w:rsidRPr="008D19EC">
              <w:t>nal procedure, including those for automation safety</w:t>
            </w:r>
          </w:p>
          <w:p w:rsidR="00000000" w:rsidRPr="008D19EC" w:rsidP="008D19EC">
            <w:pPr>
              <w:pStyle w:val="BodyText"/>
            </w:pPr>
            <w:r w:rsidRPr="008D19EC">
              <w:t>1.4 Determine requirement for PLC and related control system components</w:t>
            </w:r>
          </w:p>
          <w:p w:rsidR="00000000" w:rsidRPr="008D19EC" w:rsidP="008D19EC">
            <w:pPr>
              <w:pStyle w:val="BodyText"/>
            </w:pPr>
            <w:r w:rsidRPr="008D19EC">
              <w:t>1.5 Ensure appropriate support, including licensed electrical, technical and professional assistance, is available</w:t>
            </w:r>
          </w:p>
          <w:p w:rsidR="00000000" w:rsidRPr="008D19EC" w:rsidP="008D19EC">
            <w:pPr>
              <w:pStyle w:val="BodyText"/>
            </w:pPr>
            <w:r w:rsidRPr="008D19EC">
              <w:t>1.6 Determine so</w:t>
            </w:r>
            <w:r w:rsidRPr="008D19EC">
              <w:t>ftware and software techniques for analysis and graphics required by the evaluation task</w:t>
            </w:r>
          </w:p>
          <w:p w:rsidR="00000000" w:rsidRPr="008D19EC" w:rsidP="008D19EC">
            <w:pPr>
              <w:pStyle w:val="BodyText"/>
            </w:pPr>
            <w:r w:rsidRPr="008D19EC">
              <w:t>1.7 Identify stakeholders to be consulted on evaluation</w:t>
            </w:r>
          </w:p>
          <w:p w:rsidR="00000000" w:rsidP="008D19EC">
            <w:pPr>
              <w:pStyle w:val="BodyText"/>
              <w:rPr>
                <w:lang w:val="en-NZ"/>
              </w:rPr>
            </w:pPr>
            <w:r w:rsidRPr="008D19EC">
              <w:t>1.8 Investigate sustainability implications of PLC applications</w:t>
            </w:r>
          </w:p>
        </w:tc>
      </w:tr>
      <w:tr w:rsidTr="004401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2. Establish existing features of PLC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BodyText"/>
            </w:pPr>
            <w:r w:rsidRPr="008D19EC">
              <w:t>2.1 Review the functions and features of devices, machines and processes controlled by PLCs</w:t>
            </w:r>
          </w:p>
          <w:p w:rsidR="00000000" w:rsidRPr="008D19EC" w:rsidP="008D19EC">
            <w:pPr>
              <w:pStyle w:val="BodyText"/>
            </w:pPr>
            <w:r w:rsidRPr="008D19EC">
              <w:t>2.2 Identify features and functions of PLC systems and components</w:t>
            </w:r>
          </w:p>
          <w:p w:rsidR="00000000" w:rsidRPr="008D19EC" w:rsidP="008D19EC">
            <w:pPr>
              <w:pStyle w:val="BodyText"/>
            </w:pPr>
            <w:r w:rsidRPr="008D19EC">
              <w:t>2.3 Review PLC programming and functions</w:t>
            </w:r>
          </w:p>
          <w:p w:rsidR="00000000" w:rsidRPr="008D19EC" w:rsidP="008D19EC">
            <w:pPr>
              <w:pStyle w:val="BodyText"/>
            </w:pPr>
            <w:r w:rsidRPr="008D19EC">
              <w:t>2.4 Id</w:t>
            </w:r>
            <w:r w:rsidRPr="008D19EC">
              <w:t>entify system integrating principles and techniques, signal conditioning and power interfacing</w:t>
            </w:r>
          </w:p>
          <w:p w:rsidR="00000000" w:rsidP="008D19EC">
            <w:pPr>
              <w:pStyle w:val="BodyText"/>
              <w:rPr>
                <w:lang w:val="en-NZ"/>
              </w:rPr>
            </w:pPr>
            <w:r w:rsidRPr="008D19EC">
              <w:t>2.5 Identify networking and system supervision, data acquisition and supervisory control options</w:t>
            </w:r>
          </w:p>
        </w:tc>
      </w:tr>
      <w:tr w:rsidTr="004401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3. Evaluate PLC applications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BodyText"/>
            </w:pPr>
            <w:r w:rsidRPr="008D19EC">
              <w:t>3.1 Determine suitability of compo</w:t>
            </w:r>
            <w:r w:rsidRPr="008D19EC">
              <w:t>nents of application including sensor or transducers, PLC and output devices, signal conditioning and interfacing</w:t>
            </w:r>
          </w:p>
          <w:p w:rsidR="00000000" w:rsidRPr="008D19EC" w:rsidP="008D19EC">
            <w:pPr>
              <w:pStyle w:val="BodyText"/>
            </w:pPr>
            <w:r w:rsidRPr="008D19EC">
              <w:t>3.2 Establish suitability of controller functions, PLC software and programming</w:t>
            </w:r>
          </w:p>
          <w:p w:rsidR="00000000" w:rsidRPr="008D19EC" w:rsidP="008D19EC">
            <w:pPr>
              <w:pStyle w:val="BodyText"/>
            </w:pPr>
            <w:r w:rsidRPr="008D19EC">
              <w:t xml:space="preserve">3.3 Determine suitability of network, supervisory control and </w:t>
            </w:r>
            <w:r w:rsidRPr="008D19EC">
              <w:t>data acquisition (SCADA) communications protocols, standards and network topologies, human-machine interfaces (HMIs) and graphical user interfaces (GUIs) used by applications</w:t>
            </w:r>
          </w:p>
          <w:p w:rsidR="00000000" w:rsidP="008D19EC">
            <w:pPr>
              <w:pStyle w:val="BodyText"/>
              <w:rPr>
                <w:lang w:val="en-NZ"/>
              </w:rPr>
            </w:pPr>
            <w:r w:rsidRPr="008D19EC">
              <w:t>3.4 Evaluate compliance of application with WHS and regulatory requirements, code</w:t>
            </w:r>
            <w:r w:rsidRPr="008D19EC">
              <w:t>s of practice, standards and risk management procedures</w:t>
            </w:r>
          </w:p>
        </w:tc>
      </w:tr>
      <w:tr w:rsidTr="0044012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BodyText"/>
            </w:pPr>
            <w:r w:rsidRPr="008D19EC">
              <w:t>4.1 Record results of evaluation in accordance with procedures</w:t>
            </w:r>
          </w:p>
          <w:p w:rsidR="00000000" w:rsidRPr="008D19EC" w:rsidP="008D19EC">
            <w:pPr>
              <w:pStyle w:val="BodyText"/>
            </w:pPr>
            <w:r w:rsidRPr="008D19EC">
              <w:t>4.2 Provide documentation including layouts, programs and flow charts or state diagrams and files</w:t>
            </w:r>
          </w:p>
        </w:tc>
      </w:tr>
    </w:tbl>
    <w:p w:rsidR="00440128" w:rsidP="008D19EC">
      <w:pPr>
        <w:pStyle w:val="BodyText"/>
      </w:pPr>
    </w:p>
    <w:p w:rsidR="00440128" w:rsidP="008D19EC">
      <w:pPr>
        <w:pStyle w:val="BodyText"/>
      </w:pPr>
    </w:p>
    <w:p w:rsidR="00000000" w:rsidRPr="008D19EC" w:rsidP="008D19EC">
      <w:pPr>
        <w:pStyle w:val="Heading1"/>
      </w:pPr>
      <w:bookmarkStart w:id="6" w:name="O_944059"/>
      <w:bookmarkEnd w:id="6"/>
      <w:r w:rsidRPr="008D19EC">
        <w:t>Foundation Skills</w:t>
      </w:r>
    </w:p>
    <w:p w:rsidR="00000000" w:rsidRPr="008D19EC" w:rsidP="00440128">
      <w:pPr>
        <w:pStyle w:val="BodyText"/>
      </w:pPr>
      <w:r w:rsidRPr="008D19EC">
        <w:t>This section describes those language, literacy, numeracy and employment skills that are essential to performance.</w:t>
      </w:r>
    </w:p>
    <w:p w:rsidR="00440128" w:rsidP="00440128">
      <w:pPr>
        <w:pStyle w:val="BodyText"/>
      </w:pPr>
      <w:r w:rsidRPr="008D19EC">
        <w:t>Foundation skills essential to performance are explicit in the performance criteria of this unit of competency.</w:t>
      </w:r>
    </w:p>
    <w:p w:rsidR="00000000" w:rsidRPr="008D19EC" w:rsidP="008D19EC">
      <w:pPr>
        <w:pStyle w:val="Heading1"/>
      </w:pPr>
      <w:bookmarkStart w:id="7" w:name="O_944058"/>
      <w:bookmarkEnd w:id="7"/>
      <w:r w:rsidRPr="008D19EC">
        <w:t>Range of Conditions</w:t>
      </w:r>
    </w:p>
    <w:tbl>
      <w:tblPr>
        <w:tblW w:w="9638" w:type="dxa"/>
        <w:tblLayout w:type="fixed"/>
        <w:tblCellMar>
          <w:left w:w="62" w:type="dxa"/>
          <w:right w:w="62" w:type="dxa"/>
        </w:tblCellMar>
        <w:tblLook w:val="0000"/>
      </w:tblPr>
      <w:tblGrid>
        <w:gridCol w:w="2758"/>
        <w:gridCol w:w="6880"/>
      </w:tblGrid>
      <w:tr w:rsidTr="008D19E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This field allows for different work environments and conditions that may affect performance. Essential operating conditions that may be present (depending on the work situation, needs of the candidate, accessibility of the item</w:t>
            </w:r>
            <w:r w:rsidRPr="008D19EC">
              <w:t>, and local industry and regional contexts) are included.</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PLC applications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motor controllers, fault detectors and power controllers</w:t>
            </w:r>
          </w:p>
          <w:p w:rsidR="00000000" w:rsidRPr="008D19EC" w:rsidP="008D19EC">
            <w:pPr>
              <w:pStyle w:val="ListBullet"/>
            </w:pPr>
            <w:r w:rsidRPr="008D19EC">
              <w:t>multi-axis machine control</w:t>
            </w:r>
          </w:p>
          <w:p w:rsidR="00000000" w:rsidRPr="008D19EC" w:rsidP="008D19EC">
            <w:pPr>
              <w:pStyle w:val="ListBullet"/>
            </w:pPr>
            <w:r w:rsidRPr="008D19EC">
              <w:t>process automation</w:t>
            </w:r>
          </w:p>
          <w:p w:rsidR="00000000" w:rsidRPr="008D19EC" w:rsidP="008D19EC">
            <w:pPr>
              <w:pStyle w:val="ListBullet"/>
            </w:pPr>
            <w:r w:rsidRPr="008D19EC">
              <w:t>packaging, for shrink-wrapping, labelling and palletising</w:t>
            </w:r>
          </w:p>
          <w:p w:rsidR="00000000" w:rsidRPr="008D19EC" w:rsidP="008D19EC">
            <w:pPr>
              <w:pStyle w:val="ListBullet"/>
            </w:pPr>
            <w:r w:rsidRPr="008D19EC">
              <w:t>utilitie</w:t>
            </w:r>
            <w:r w:rsidRPr="008D19EC">
              <w:t>s, for water and effluent treatment</w:t>
            </w:r>
          </w:p>
          <w:p w:rsidR="00000000" w:rsidRPr="008D19EC" w:rsidP="008D19EC">
            <w:pPr>
              <w:pStyle w:val="ListBullet"/>
            </w:pPr>
            <w:r w:rsidRPr="008D19EC">
              <w:t>industrial distributed control system</w:t>
            </w:r>
          </w:p>
          <w:p w:rsidR="00000000" w:rsidRPr="008D19EC" w:rsidP="008D19EC">
            <w:pPr>
              <w:pStyle w:val="ListBullet"/>
            </w:pPr>
            <w:r w:rsidRPr="008D19EC">
              <w:t>amusement rides</w:t>
            </w:r>
          </w:p>
          <w:p w:rsidR="00000000" w:rsidRPr="008D19EC" w:rsidP="008D19EC">
            <w:pPr>
              <w:pStyle w:val="ListBullet"/>
            </w:pPr>
            <w:r w:rsidRPr="008D19EC">
              <w:t>agricultural machine and irrigation controllers</w:t>
            </w:r>
          </w:p>
          <w:p w:rsidR="00000000" w:rsidRPr="008D19EC" w:rsidP="008D19EC">
            <w:pPr>
              <w:pStyle w:val="ListBullet"/>
            </w:pPr>
            <w:r w:rsidRPr="008D19EC">
              <w:t>military and aerospace automation (except aircraft systems)</w:t>
            </w:r>
          </w:p>
          <w:p w:rsidR="00000000" w:rsidP="008D19EC">
            <w:pPr>
              <w:pStyle w:val="ListBullet"/>
              <w:rPr>
                <w:lang w:val="en-NZ"/>
              </w:rPr>
            </w:pPr>
            <w:r w:rsidRPr="008D19EC">
              <w:t>mineral and chemical, and petroleum processing.</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PLC software and programming language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 xml:space="preserve">ladder diagram (LD) - graphical </w:t>
            </w:r>
          </w:p>
          <w:p w:rsidR="00000000" w:rsidRPr="008D19EC" w:rsidP="008D19EC">
            <w:pPr>
              <w:pStyle w:val="ListBullet"/>
            </w:pPr>
            <w:r w:rsidRPr="008D19EC">
              <w:t>function block diagram (FBD) - graphical</w:t>
            </w:r>
          </w:p>
          <w:p w:rsidR="00000000" w:rsidRPr="008D19EC" w:rsidP="008D19EC">
            <w:pPr>
              <w:pStyle w:val="ListBullet"/>
            </w:pPr>
            <w:r w:rsidRPr="008D19EC">
              <w:t>structured text (ST) - textual</w:t>
            </w:r>
          </w:p>
          <w:p w:rsidR="00000000" w:rsidRPr="008D19EC" w:rsidP="008D19EC">
            <w:pPr>
              <w:pStyle w:val="ListBullet"/>
            </w:pPr>
            <w:r w:rsidRPr="008D19EC">
              <w:t xml:space="preserve">instruction list (IL) - textual </w:t>
            </w:r>
          </w:p>
          <w:p w:rsidR="00000000" w:rsidRPr="008D19EC" w:rsidP="008D19EC">
            <w:pPr>
              <w:pStyle w:val="ListBullet"/>
            </w:pPr>
            <w:r w:rsidRPr="008D19EC">
              <w:t>sequential function chart (SFC) - elements to organise programs for s</w:t>
            </w:r>
            <w:r w:rsidRPr="008D19EC">
              <w:t>equential and parallel control processing.</w:t>
            </w:r>
          </w:p>
          <w:p w:rsidR="00000000" w:rsidRPr="008D19EC" w:rsidP="008D19EC">
            <w:pPr>
              <w:pStyle w:val="BodyText"/>
            </w:pPr>
          </w:p>
          <w:p w:rsidR="00000000" w:rsidP="008D19EC">
            <w:pPr>
              <w:pStyle w:val="BodyText"/>
              <w:rPr>
                <w:lang w:val="en-NZ"/>
              </w:rPr>
            </w:pPr>
            <w:r w:rsidRPr="008D19EC">
              <w:t>Note: PLC programming language standards can comply with IEC 61131-3 or other standards.</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 xml:space="preserve">technical support and advice relating to elements which have </w:t>
            </w:r>
            <w:r w:rsidRPr="008D19EC">
              <w:t>intrinsic dangers including:</w:t>
            </w:r>
          </w:p>
          <w:p w:rsidR="00000000" w:rsidRPr="008D19EC" w:rsidP="008D19EC">
            <w:pPr>
              <w:pStyle w:val="ListBullet2"/>
            </w:pPr>
            <w:r w:rsidRPr="008D19EC">
              <w:t>high pressure</w:t>
            </w:r>
          </w:p>
          <w:p w:rsidR="00000000" w:rsidRPr="008D19EC" w:rsidP="008D19EC">
            <w:pPr>
              <w:pStyle w:val="ListBullet2"/>
            </w:pPr>
            <w:r w:rsidRPr="008D19EC">
              <w:t>energised fluid vessels</w:t>
            </w:r>
          </w:p>
          <w:p w:rsidR="00000000" w:rsidRPr="008D19EC" w:rsidP="008D19EC">
            <w:pPr>
              <w:pStyle w:val="ListBullet2"/>
            </w:pPr>
            <w:r w:rsidRPr="008D19EC">
              <w:t>high temperatures and heat energy capacity</w:t>
            </w:r>
          </w:p>
          <w:p w:rsidR="00000000" w:rsidRPr="008D19EC" w:rsidP="008D19EC">
            <w:pPr>
              <w:pStyle w:val="ListBullet2"/>
            </w:pPr>
            <w:r w:rsidRPr="008D19EC">
              <w:t>wiring with high current control voltages above extra low voltage</w:t>
            </w:r>
          </w:p>
          <w:p w:rsidR="00000000" w:rsidRPr="008D19EC" w:rsidP="008D19EC">
            <w:pPr>
              <w:pStyle w:val="ListBullet"/>
            </w:pPr>
            <w:r w:rsidRPr="008D19EC">
              <w:t>professional support for technologies include:</w:t>
            </w:r>
          </w:p>
          <w:p w:rsidR="00000000" w:rsidRPr="008D19EC" w:rsidP="008D19EC">
            <w:pPr>
              <w:pStyle w:val="ListBullet2"/>
            </w:pPr>
            <w:r w:rsidRPr="008D19EC">
              <w:t>specialised electric motor drives and controllers</w:t>
            </w:r>
          </w:p>
          <w:p w:rsidR="00000000" w:rsidRPr="008D19EC" w:rsidP="008D19EC">
            <w:pPr>
              <w:pStyle w:val="ListBullet2"/>
            </w:pPr>
            <w:r w:rsidRPr="008D19EC">
              <w:t>specialised materials, plastics, metal alloys and nano materials</w:t>
            </w:r>
          </w:p>
          <w:p w:rsidR="00000000" w:rsidP="008D19EC">
            <w:pPr>
              <w:pStyle w:val="ListBullet2"/>
              <w:rPr>
                <w:lang w:val="en-NZ"/>
              </w:rPr>
            </w:pPr>
            <w:r w:rsidRPr="008D19EC">
              <w:t>special processes, foundry, alloy welding, heat treatment, sealing and fastening.</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WHS acts, regulations and relevant standards</w:t>
            </w:r>
          </w:p>
          <w:p w:rsidR="00000000" w:rsidRPr="008D19EC" w:rsidP="008D19EC">
            <w:pPr>
              <w:pStyle w:val="ListBullet"/>
            </w:pPr>
            <w:r w:rsidRPr="008D19EC">
              <w:t>codes of practice from Australian and overseas engineering and technical associations and societies</w:t>
            </w:r>
          </w:p>
          <w:p w:rsidR="00000000" w:rsidRPr="008D19EC" w:rsidP="008D19EC">
            <w:pPr>
              <w:pStyle w:val="ListBullet"/>
            </w:pPr>
            <w:r w:rsidRPr="008D19EC">
              <w:t>risk assessments</w:t>
            </w:r>
          </w:p>
          <w:p w:rsidR="00000000" w:rsidRPr="008D19EC" w:rsidP="008D19EC">
            <w:pPr>
              <w:pStyle w:val="ListBullet"/>
            </w:pPr>
            <w:r w:rsidRPr="008D19EC">
              <w:t>registration requirements</w:t>
            </w:r>
            <w:r w:rsidRPr="008D19EC">
              <w:t xml:space="preserve"> </w:t>
            </w:r>
          </w:p>
          <w:p w:rsidR="00000000" w:rsidRPr="008D19EC" w:rsidP="008D19EC">
            <w:pPr>
              <w:pStyle w:val="ListBullet"/>
            </w:pPr>
            <w:r w:rsidRPr="008D19EC">
              <w:t>safe work practices</w:t>
            </w:r>
          </w:p>
          <w:p w:rsidR="00000000" w:rsidP="008D19EC">
            <w:pPr>
              <w:pStyle w:val="ListBullet"/>
              <w:rPr>
                <w:lang w:val="en-NZ"/>
              </w:rPr>
            </w:pPr>
            <w:r w:rsidRPr="008D19EC">
              <w:t>state and territory regulatory requirements.</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Automation safety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emergency stop</w:t>
            </w:r>
          </w:p>
          <w:p w:rsidR="00000000" w:rsidRPr="008D19EC" w:rsidP="008D19EC">
            <w:pPr>
              <w:pStyle w:val="ListBullet"/>
            </w:pPr>
            <w:r w:rsidRPr="008D19EC">
              <w:t>failsafe design</w:t>
            </w:r>
          </w:p>
          <w:p w:rsidR="00000000" w:rsidRPr="008D19EC" w:rsidP="008D19EC">
            <w:pPr>
              <w:pStyle w:val="ListBullet"/>
            </w:pPr>
            <w:r w:rsidRPr="008D19EC">
              <w:t>redundancy</w:t>
            </w:r>
          </w:p>
          <w:p w:rsidR="00000000" w:rsidRPr="008D19EC" w:rsidP="008D19EC">
            <w:pPr>
              <w:pStyle w:val="ListBullet"/>
            </w:pPr>
            <w:r w:rsidRPr="008D19EC">
              <w:t>interlocks</w:t>
            </w:r>
          </w:p>
          <w:p w:rsidR="00000000" w:rsidP="008D19EC">
            <w:pPr>
              <w:pStyle w:val="ListBullet"/>
              <w:rPr>
                <w:lang w:val="en-NZ"/>
              </w:rPr>
            </w:pPr>
            <w:r w:rsidRPr="008D19EC">
              <w:t>data integrity.</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Data and communications protocols and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layered communications and networking protocols including Open Systems Interconnection (OSI Model) – seven layers</w:t>
            </w:r>
          </w:p>
          <w:p w:rsidR="00000000" w:rsidRPr="008D19EC" w:rsidP="008D19EC">
            <w:pPr>
              <w:pStyle w:val="ListBullet"/>
            </w:pPr>
            <w:r w:rsidRPr="008D19EC">
              <w:t>TCP/IP Internet Protocol Suite {Transmission Control Protocol (TCP) and the Internet Protocol (IP)} – four or five layers</w:t>
            </w:r>
          </w:p>
          <w:p w:rsidR="00000000" w:rsidRPr="008D19EC" w:rsidP="008D19EC">
            <w:pPr>
              <w:pStyle w:val="ListBullet"/>
            </w:pPr>
            <w:r w:rsidRPr="008D19EC">
              <w:t>IEEE 802 Wireless PA</w:t>
            </w:r>
            <w:r w:rsidRPr="008D19EC">
              <w:t xml:space="preserve">N, LAN, MAN and WPAN standards </w:t>
            </w:r>
          </w:p>
          <w:p w:rsidR="00000000" w:rsidP="008D19EC">
            <w:pPr>
              <w:pStyle w:val="ListBullet"/>
              <w:rPr>
                <w:lang w:val="en-NZ"/>
              </w:rPr>
            </w:pPr>
            <w:r w:rsidRPr="008D19EC">
              <w:t>interface standards, including RS232 and RS485, Fieldbus, Modbus and DNP3.0.</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Network topologies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daisy-chain</w:t>
            </w:r>
          </w:p>
          <w:p w:rsidR="00000000" w:rsidRPr="008D19EC" w:rsidP="008D19EC">
            <w:pPr>
              <w:pStyle w:val="ListBullet"/>
            </w:pPr>
            <w:r w:rsidRPr="008D19EC">
              <w:t>star</w:t>
            </w:r>
          </w:p>
          <w:p w:rsidR="00000000" w:rsidRPr="008D19EC" w:rsidP="008D19EC">
            <w:pPr>
              <w:pStyle w:val="ListBullet"/>
            </w:pPr>
            <w:r w:rsidRPr="008D19EC">
              <w:t>ring</w:t>
            </w:r>
          </w:p>
          <w:p w:rsidR="00000000" w:rsidRPr="008D19EC" w:rsidP="008D19EC">
            <w:pPr>
              <w:pStyle w:val="ListBullet"/>
            </w:pPr>
            <w:r w:rsidRPr="008D19EC">
              <w:t>branch</w:t>
            </w:r>
          </w:p>
          <w:p w:rsidR="00000000" w:rsidRPr="008D19EC" w:rsidP="008D19EC">
            <w:pPr>
              <w:pStyle w:val="ListBullet"/>
            </w:pPr>
            <w:r w:rsidRPr="008D19EC">
              <w:t>linear</w:t>
            </w:r>
          </w:p>
          <w:p w:rsidR="00000000" w:rsidRPr="008D19EC" w:rsidP="008D19EC">
            <w:pPr>
              <w:pStyle w:val="ListBullet"/>
            </w:pPr>
            <w:r w:rsidRPr="008D19EC">
              <w:t>tree</w:t>
            </w:r>
          </w:p>
          <w:p w:rsidR="00000000" w:rsidP="008D19EC">
            <w:pPr>
              <w:pStyle w:val="ListBullet"/>
              <w:rPr>
                <w:lang w:val="en-NZ"/>
              </w:rPr>
            </w:pPr>
            <w:r w:rsidRPr="008D19EC">
              <w:t>wired and wireless options.</w:t>
            </w:r>
          </w:p>
        </w:tc>
      </w:tr>
      <w:tr w:rsidTr="008D19E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19EC">
            <w:pPr>
              <w:pStyle w:val="BodyText"/>
              <w:rPr>
                <w:lang w:val="en-NZ"/>
              </w:rPr>
            </w:pPr>
            <w:r w:rsidRPr="008D19EC">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19EC" w:rsidP="008D19EC">
            <w:pPr>
              <w:pStyle w:val="ListBullet"/>
            </w:pPr>
            <w:r w:rsidRPr="008D19EC">
              <w:t>meeting all regulator</w:t>
            </w:r>
            <w:r w:rsidRPr="008D19EC">
              <w:t>y requirements</w:t>
            </w:r>
          </w:p>
          <w:p w:rsidR="00000000" w:rsidRPr="008D19EC" w:rsidP="008D19EC">
            <w:pPr>
              <w:pStyle w:val="ListBullet"/>
            </w:pPr>
            <w:r w:rsidRPr="008D19EC">
              <w:t>conforming to all industry covenants, protocols and best practice guides</w:t>
            </w:r>
          </w:p>
          <w:p w:rsidR="00000000" w:rsidRPr="008D19EC" w:rsidP="008D19EC">
            <w:pPr>
              <w:pStyle w:val="ListBullet"/>
            </w:pPr>
            <w:r w:rsidRPr="008D19EC">
              <w:t>minimising ecological and environmental footprint of process, plant and product</w:t>
            </w:r>
          </w:p>
          <w:p w:rsidR="00000000" w:rsidRPr="008D19EC" w:rsidP="008D19EC">
            <w:pPr>
              <w:pStyle w:val="ListBullet"/>
            </w:pPr>
            <w:r w:rsidRPr="008D19EC">
              <w:t>maximising economic benefit of process plant and product to the organisation and the community</w:t>
            </w:r>
          </w:p>
          <w:p w:rsidR="00000000" w:rsidRPr="008D19EC" w:rsidP="008D19EC">
            <w:pPr>
              <w:pStyle w:val="ListBullet"/>
            </w:pPr>
            <w:r w:rsidRPr="008D19EC">
              <w:t>minimising the negative WHS impact on employees, community and customer.</w:t>
            </w:r>
          </w:p>
        </w:tc>
      </w:tr>
    </w:tbl>
    <w:p w:rsidR="00440128" w:rsidP="008D19EC">
      <w:pPr>
        <w:pStyle w:val="BodyText"/>
      </w:pPr>
    </w:p>
    <w:p w:rsidR="00440128" w:rsidP="008D19EC">
      <w:pPr>
        <w:pStyle w:val="BodyText"/>
      </w:pPr>
    </w:p>
    <w:p w:rsidR="00000000" w:rsidRPr="008D19EC" w:rsidP="008D19EC">
      <w:pPr>
        <w:pStyle w:val="Heading1"/>
      </w:pPr>
      <w:bookmarkStart w:id="8" w:name="O_944057"/>
      <w:bookmarkEnd w:id="8"/>
      <w:r w:rsidRPr="008D19EC">
        <w:t>Unit Mapping Information</w:t>
      </w:r>
    </w:p>
    <w:p w:rsidR="00440128" w:rsidP="00440128">
      <w:pPr>
        <w:pStyle w:val="BodyText"/>
      </w:pPr>
      <w:r w:rsidRPr="008D19EC">
        <w:t xml:space="preserve">Release 1. Supersedes and is equivalent to </w:t>
      </w:r>
      <w:r w:rsidRPr="008D19EC">
        <w:t>MEM23116A Evaluate programmable logic controller and related control system component applications.</w:t>
      </w:r>
    </w:p>
    <w:p w:rsidR="00000000" w:rsidRPr="008D19EC" w:rsidP="008D19EC">
      <w:pPr>
        <w:pStyle w:val="Heading1"/>
      </w:pPr>
      <w:bookmarkStart w:id="9" w:name="O_944050"/>
      <w:bookmarkEnd w:id="9"/>
      <w:r w:rsidRPr="008D19EC">
        <w:t>Links</w:t>
      </w:r>
    </w:p>
    <w:p w:rsidR="00000000" w:rsidRPr="008D19EC" w:rsidP="00440128">
      <w:pPr>
        <w:pStyle w:val="BodyText"/>
      </w:pPr>
      <w:r w:rsidRPr="008D19E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311A5">
        <w:rPr>
          <w:rStyle w:val="Hyperlink"/>
        </w:rPr>
        <w:t>https://vetnet.gov.au/Pages/TrainingDocs.aspx?q=b7050d37-5fd0-4740-8f7d-3b7a49c10bb2</w:t>
      </w:r>
      <w:r>
        <w:fldChar w:fldCharType="end"/>
      </w:r>
    </w:p>
    <w:p w:rsidR="00000000" w:rsidRPr="008D19EC" w:rsidP="008D19EC"/>
    <w:sectPr w:rsidSect="008D19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EC" w:rsidRPr="00440128" w:rsidP="00440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28" w:rsidP="008D1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0128" w:rsidP="008D19E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0128" w:rsidP="008D1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19EC" w:rsidRPr="00440128" w:rsidP="00440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28" w:rsidRPr="002D2AF8" w:rsidP="008D19EC">
    <w:pPr>
      <w:pStyle w:val="Header"/>
      <w:framePr w:wrap="around"/>
    </w:pPr>
    <w:r>
      <w:fldChar w:fldCharType="begin"/>
    </w:r>
    <w:r>
      <w:instrText xml:space="preserve"> TITLE   \* MERGEFORMAT </w:instrText>
    </w:r>
    <w:r>
      <w:fldChar w:fldCharType="separate"/>
    </w:r>
    <w:r>
      <w:t>MEM23116 Evaluate programmable logic controller and related control system component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40128" w:rsidP="008D1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888B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989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BEC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19EC"/>
    <w:pPr>
      <w:spacing w:before="360" w:after="60"/>
      <w:outlineLvl w:val="0"/>
    </w:pPr>
    <w:rPr>
      <w:sz w:val="32"/>
    </w:rPr>
  </w:style>
  <w:style w:type="paragraph" w:styleId="Heading2">
    <w:name w:val="heading 2"/>
    <w:basedOn w:val="HeadingBase"/>
    <w:next w:val="BodyText"/>
    <w:link w:val="Heading2Char"/>
    <w:qFormat/>
    <w:rsid w:val="008D19EC"/>
    <w:pPr>
      <w:keepLines/>
      <w:spacing w:before="240" w:after="120"/>
      <w:outlineLvl w:val="1"/>
    </w:pPr>
    <w:rPr>
      <w:sz w:val="28"/>
      <w:szCs w:val="40"/>
    </w:rPr>
  </w:style>
  <w:style w:type="paragraph" w:styleId="Heading3">
    <w:name w:val="heading 3"/>
    <w:basedOn w:val="HeadingBase"/>
    <w:next w:val="BodyText"/>
    <w:link w:val="Heading3Char"/>
    <w:qFormat/>
    <w:rsid w:val="008D19EC"/>
    <w:pPr>
      <w:spacing w:before="180" w:after="120"/>
      <w:outlineLvl w:val="2"/>
    </w:pPr>
    <w:rPr>
      <w:spacing w:val="-10"/>
      <w:kern w:val="32"/>
    </w:rPr>
  </w:style>
  <w:style w:type="paragraph" w:styleId="Heading4">
    <w:name w:val="heading 4"/>
    <w:basedOn w:val="HeadingBase"/>
    <w:next w:val="BodyText"/>
    <w:link w:val="Heading4Char"/>
    <w:qFormat/>
    <w:rsid w:val="008D19EC"/>
    <w:pPr>
      <w:spacing w:before="160" w:after="120"/>
      <w:outlineLvl w:val="3"/>
    </w:pPr>
    <w:rPr>
      <w:sz w:val="22"/>
    </w:rPr>
  </w:style>
  <w:style w:type="paragraph" w:styleId="Heading5">
    <w:name w:val="heading 5"/>
    <w:basedOn w:val="HeadingBase"/>
    <w:next w:val="Normal"/>
    <w:link w:val="Heading5Char"/>
    <w:qFormat/>
    <w:rsid w:val="008D19EC"/>
    <w:pPr>
      <w:spacing w:before="80"/>
      <w:outlineLvl w:val="4"/>
    </w:pPr>
    <w:rPr>
      <w:color w:val="918585"/>
      <w:sz w:val="20"/>
    </w:rPr>
  </w:style>
  <w:style w:type="paragraph" w:styleId="Heading6">
    <w:name w:val="heading 6"/>
    <w:basedOn w:val="HeadingBase"/>
    <w:next w:val="Normal"/>
    <w:link w:val="Heading6Char"/>
    <w:qFormat/>
    <w:rsid w:val="008D19EC"/>
    <w:pPr>
      <w:spacing w:before="60"/>
      <w:outlineLvl w:val="5"/>
    </w:pPr>
    <w:rPr>
      <w:color w:val="918585"/>
      <w:sz w:val="20"/>
    </w:rPr>
  </w:style>
  <w:style w:type="paragraph" w:styleId="Heading7">
    <w:name w:val="heading 7"/>
    <w:basedOn w:val="Normal"/>
    <w:next w:val="Normal"/>
    <w:link w:val="Heading7Char"/>
    <w:qFormat/>
    <w:rsid w:val="008D19EC"/>
    <w:pPr>
      <w:ind w:left="720"/>
      <w:outlineLvl w:val="6"/>
    </w:pPr>
    <w:rPr>
      <w:i/>
    </w:rPr>
  </w:style>
  <w:style w:type="paragraph" w:styleId="Heading8">
    <w:name w:val="heading 8"/>
    <w:basedOn w:val="Normal"/>
    <w:next w:val="Normal"/>
    <w:link w:val="Heading8Char"/>
    <w:qFormat/>
    <w:rsid w:val="008D19EC"/>
    <w:pPr>
      <w:ind w:left="720"/>
      <w:outlineLvl w:val="7"/>
    </w:pPr>
    <w:rPr>
      <w:i/>
    </w:rPr>
  </w:style>
  <w:style w:type="paragraph" w:styleId="Heading9">
    <w:name w:val="heading 9"/>
    <w:basedOn w:val="Normal"/>
    <w:next w:val="Normal"/>
    <w:link w:val="Heading9Char"/>
    <w:qFormat/>
    <w:rsid w:val="008D19EC"/>
    <w:pPr>
      <w:ind w:left="720"/>
      <w:outlineLvl w:val="8"/>
    </w:pPr>
    <w:rPr>
      <w:i/>
    </w:rPr>
  </w:style>
  <w:style w:type="character" w:default="1" w:styleId="DefaultParagraphFont">
    <w:name w:val="Default Paragraph Font"/>
    <w:uiPriority w:val="1"/>
    <w:unhideWhenUsed/>
    <w:rsid w:val="008D1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9EC"/>
  </w:style>
  <w:style w:type="character" w:customStyle="1" w:styleId="Heading1Char">
    <w:name w:val="Heading 1 Char"/>
    <w:basedOn w:val="DefaultParagraphFont"/>
    <w:link w:val="Heading1"/>
    <w:rsid w:val="008D19EC"/>
    <w:rPr>
      <w:rFonts w:ascii="Times New Roman" w:eastAsia="Times New Roman" w:hAnsi="Times New Roman" w:cs="Times New Roman"/>
      <w:b/>
      <w:sz w:val="32"/>
      <w:szCs w:val="20"/>
      <w:lang w:eastAsia="en-US"/>
    </w:rPr>
  </w:style>
  <w:style w:type="paragraph" w:styleId="BodyText">
    <w:name w:val="Body Text"/>
    <w:basedOn w:val="Normal"/>
    <w:link w:val="BodyTextChar"/>
    <w:rsid w:val="008D19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19EC"/>
    <w:rPr>
      <w:rFonts w:ascii="Times New Roman" w:eastAsia="Times New Roman" w:hAnsi="Times New Roman" w:cs="Times New Roman"/>
      <w:sz w:val="24"/>
      <w:lang w:eastAsia="en-US"/>
    </w:rPr>
  </w:style>
  <w:style w:type="paragraph" w:styleId="ListBullet">
    <w:name w:val="List Bullet"/>
    <w:basedOn w:val="List"/>
    <w:rsid w:val="008D19EC"/>
    <w:pPr>
      <w:numPr>
        <w:numId w:val="12"/>
      </w:numPr>
      <w:tabs>
        <w:tab w:val="clear" w:pos="340"/>
      </w:tabs>
      <w:spacing w:before="40" w:after="40"/>
    </w:pPr>
  </w:style>
  <w:style w:type="character" w:customStyle="1" w:styleId="SpecialBold">
    <w:name w:val="Special Bold"/>
    <w:basedOn w:val="DefaultParagraphFont"/>
    <w:rsid w:val="008D19EC"/>
    <w:rPr>
      <w:b/>
      <w:spacing w:val="0"/>
    </w:rPr>
  </w:style>
  <w:style w:type="paragraph" w:styleId="ListBullet2">
    <w:name w:val="List Bullet 2"/>
    <w:basedOn w:val="List2"/>
    <w:rsid w:val="008D19EC"/>
    <w:pPr>
      <w:numPr>
        <w:numId w:val="13"/>
      </w:numPr>
      <w:tabs>
        <w:tab w:val="clear" w:pos="680"/>
      </w:tabs>
    </w:pPr>
  </w:style>
  <w:style w:type="character" w:styleId="Emphasis">
    <w:name w:val="Emphasis"/>
    <w:basedOn w:val="DefaultParagraphFont"/>
    <w:qFormat/>
    <w:rsid w:val="008D19EC"/>
    <w:rPr>
      <w:i/>
    </w:rPr>
  </w:style>
  <w:style w:type="paragraph" w:customStyle="1" w:styleId="SuperHeading">
    <w:name w:val="SuperHeading"/>
    <w:basedOn w:val="Normal"/>
    <w:rsid w:val="008D19EC"/>
    <w:pPr>
      <w:spacing w:before="240" w:after="120"/>
      <w:outlineLvl w:val="0"/>
    </w:pPr>
    <w:rPr>
      <w:rFonts w:ascii="Times New Roman" w:hAnsi="Times New Roman"/>
      <w:b/>
      <w:sz w:val="32"/>
    </w:rPr>
  </w:style>
  <w:style w:type="paragraph" w:customStyle="1" w:styleId="AllowPageBreak">
    <w:name w:val="AllowPageBreak"/>
    <w:rsid w:val="008D1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1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19EC"/>
    <w:rPr>
      <w:rFonts w:ascii="Courier New" w:eastAsia="Times New Roman" w:hAnsi="Courier New" w:cs="Times New Roman"/>
      <w:i/>
      <w:szCs w:val="20"/>
      <w:lang w:eastAsia="en-US"/>
    </w:rPr>
  </w:style>
  <w:style w:type="paragraph" w:customStyle="1" w:styleId="HeadingBase">
    <w:name w:val="Heading Base"/>
    <w:rsid w:val="008D1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9EC"/>
    <w:pPr>
      <w:tabs>
        <w:tab w:val="right" w:leader="dot" w:pos="9072"/>
      </w:tabs>
      <w:ind w:left="567"/>
    </w:pPr>
    <w:rPr>
      <w:szCs w:val="22"/>
    </w:rPr>
  </w:style>
  <w:style w:type="paragraph" w:customStyle="1" w:styleId="TOCBase">
    <w:name w:val="TOC Base"/>
    <w:rsid w:val="008D1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9EC"/>
    <w:pPr>
      <w:tabs>
        <w:tab w:val="right" w:leader="dot" w:pos="9072"/>
      </w:tabs>
      <w:spacing w:before="40" w:after="40"/>
      <w:ind w:left="284"/>
    </w:pPr>
    <w:rPr>
      <w:rFonts w:ascii="Times New Roman" w:hAnsi="Times New Roman"/>
    </w:rPr>
  </w:style>
  <w:style w:type="paragraph" w:styleId="TOC1">
    <w:name w:val="toc 1"/>
    <w:basedOn w:val="TOCBase"/>
    <w:next w:val="Normal"/>
    <w:rsid w:val="008D1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1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9EC"/>
    <w:rPr>
      <w:rFonts w:ascii="Times New Roman" w:eastAsia="Times New Roman" w:hAnsi="Times New Roman" w:cs="Times New Roman"/>
      <w:sz w:val="16"/>
      <w:lang w:eastAsia="en-US"/>
    </w:rPr>
  </w:style>
  <w:style w:type="paragraph" w:styleId="Title">
    <w:name w:val="Title"/>
    <w:basedOn w:val="HeadingBase"/>
    <w:link w:val="TitleChar"/>
    <w:qFormat/>
    <w:rsid w:val="008D19EC"/>
    <w:pPr>
      <w:spacing w:before="5040"/>
      <w:jc w:val="center"/>
    </w:pPr>
    <w:rPr>
      <w:sz w:val="48"/>
      <w:szCs w:val="72"/>
      <w:lang w:val="en-US"/>
    </w:rPr>
  </w:style>
  <w:style w:type="character" w:customStyle="1" w:styleId="TitleChar">
    <w:name w:val="Title Char"/>
    <w:basedOn w:val="DefaultParagraphFont"/>
    <w:link w:val="Title"/>
    <w:rsid w:val="008D1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9EC"/>
    <w:pPr>
      <w:tabs>
        <w:tab w:val="left" w:pos="3600"/>
        <w:tab w:val="left" w:pos="3958"/>
      </w:tabs>
    </w:pPr>
  </w:style>
  <w:style w:type="paragraph" w:styleId="List">
    <w:name w:val="List"/>
    <w:basedOn w:val="BodyText"/>
    <w:next w:val="BodyText"/>
    <w:rsid w:val="008D19EC"/>
    <w:pPr>
      <w:tabs>
        <w:tab w:val="left" w:pos="340"/>
      </w:tabs>
      <w:spacing w:before="60" w:after="60"/>
      <w:ind w:left="340" w:hanging="340"/>
    </w:pPr>
  </w:style>
  <w:style w:type="paragraph" w:customStyle="1" w:styleId="Note">
    <w:name w:val="Note"/>
    <w:basedOn w:val="BodyText"/>
    <w:rsid w:val="008D1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9EC"/>
    <w:pPr>
      <w:framePr w:wrap="auto" w:hAnchor="text" w:y="6049"/>
    </w:pPr>
    <w:rPr>
      <w:color w:val="000000"/>
      <w:sz w:val="40"/>
    </w:rPr>
  </w:style>
  <w:style w:type="paragraph" w:customStyle="1" w:styleId="TOCTitle">
    <w:name w:val="TOCTitle"/>
    <w:basedOn w:val="Heading1"/>
    <w:rsid w:val="008D19EC"/>
    <w:pPr>
      <w:spacing w:after="240"/>
      <w:jc w:val="center"/>
      <w:outlineLvl w:val="9"/>
    </w:pPr>
    <w:rPr>
      <w:caps/>
    </w:rPr>
  </w:style>
  <w:style w:type="paragraph" w:customStyle="1" w:styleId="Version">
    <w:name w:val="Version"/>
    <w:rsid w:val="008D1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9EC"/>
    <w:pPr>
      <w:keepNext w:val="0"/>
      <w:tabs>
        <w:tab w:val="right" w:pos="4176"/>
      </w:tabs>
      <w:ind w:left="198" w:hanging="198"/>
    </w:pPr>
    <w:rPr>
      <w:rFonts w:ascii="Garamond" w:hAnsi="Garamond"/>
    </w:rPr>
  </w:style>
  <w:style w:type="paragraph" w:styleId="IndexHeading">
    <w:name w:val="index heading"/>
    <w:basedOn w:val="Normal"/>
    <w:next w:val="Index1"/>
    <w:semiHidden/>
    <w:rsid w:val="008D19EC"/>
    <w:pPr>
      <w:spacing w:before="120" w:after="120"/>
    </w:pPr>
    <w:rPr>
      <w:rFonts w:ascii="Arial" w:hAnsi="Arial"/>
      <w:b/>
      <w:color w:val="918585"/>
      <w:sz w:val="24"/>
    </w:rPr>
  </w:style>
  <w:style w:type="paragraph" w:styleId="Header">
    <w:name w:val="header"/>
    <w:basedOn w:val="Normal"/>
    <w:link w:val="HeaderChar"/>
    <w:rsid w:val="008D1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9EC"/>
    <w:rPr>
      <w:rFonts w:ascii="Times New Roman" w:eastAsia="Times New Roman" w:hAnsi="Times New Roman" w:cs="Times New Roman"/>
      <w:sz w:val="16"/>
      <w:szCs w:val="20"/>
      <w:lang w:val="en-GB" w:eastAsia="en-US"/>
    </w:rPr>
  </w:style>
  <w:style w:type="paragraph" w:customStyle="1" w:styleId="Chapter">
    <w:name w:val="Chapter"/>
    <w:basedOn w:val="Normal"/>
    <w:rsid w:val="008D19EC"/>
    <w:pPr>
      <w:spacing w:before="240"/>
    </w:pPr>
    <w:rPr>
      <w:rFonts w:ascii="Times New Roman" w:hAnsi="Times New Roman"/>
      <w:smallCaps/>
      <w:spacing w:val="80"/>
      <w:sz w:val="28"/>
    </w:rPr>
  </w:style>
  <w:style w:type="paragraph" w:customStyle="1" w:styleId="InChapter">
    <w:name w:val="InChapter"/>
    <w:basedOn w:val="Heading3"/>
    <w:rsid w:val="008D19EC"/>
    <w:pPr>
      <w:spacing w:after="240"/>
      <w:outlineLvl w:val="9"/>
    </w:pPr>
    <w:rPr>
      <w:noProof/>
    </w:rPr>
  </w:style>
  <w:style w:type="paragraph" w:styleId="Index2">
    <w:name w:val="index 2"/>
    <w:basedOn w:val="Normal"/>
    <w:next w:val="Normal"/>
    <w:semiHidden/>
    <w:rsid w:val="008D19EC"/>
    <w:pPr>
      <w:tabs>
        <w:tab w:val="right" w:pos="4176"/>
      </w:tabs>
      <w:ind w:left="568" w:hanging="284"/>
    </w:pPr>
    <w:rPr>
      <w:rFonts w:ascii="Garamond" w:hAnsi="Garamond"/>
    </w:rPr>
  </w:style>
  <w:style w:type="paragraph" w:customStyle="1" w:styleId="Byline">
    <w:name w:val="Byline"/>
    <w:rsid w:val="008D1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9EC"/>
    <w:pPr>
      <w:tabs>
        <w:tab w:val="clear" w:pos="3600"/>
        <w:tab w:val="clear" w:pos="3958"/>
      </w:tabs>
      <w:jc w:val="right"/>
    </w:pPr>
  </w:style>
  <w:style w:type="paragraph" w:styleId="Caption">
    <w:name w:val="caption"/>
    <w:basedOn w:val="BodyText"/>
    <w:next w:val="Normal"/>
    <w:qFormat/>
    <w:rsid w:val="008D19EC"/>
    <w:pPr>
      <w:framePr w:w="2268" w:hSpace="181" w:vSpace="181" w:wrap="around" w:vAnchor="text" w:hAnchor="page" w:x="1135" w:y="285" w:anchorLock="1"/>
    </w:pPr>
    <w:rPr>
      <w:i/>
    </w:rPr>
  </w:style>
  <w:style w:type="paragraph" w:customStyle="1" w:styleId="MiniTOCTitle">
    <w:name w:val="MiniTOCTitle"/>
    <w:basedOn w:val="Heading4"/>
    <w:rsid w:val="008D19EC"/>
    <w:pPr>
      <w:spacing w:before="240"/>
      <w:outlineLvl w:val="9"/>
    </w:pPr>
    <w:rPr>
      <w:noProof/>
      <w:sz w:val="24"/>
    </w:rPr>
  </w:style>
  <w:style w:type="paragraph" w:customStyle="1" w:styleId="MiniTOCItem">
    <w:name w:val="MiniTOCItem"/>
    <w:basedOn w:val="ListBullet"/>
    <w:rsid w:val="008D19EC"/>
    <w:pPr>
      <w:numPr>
        <w:numId w:val="0"/>
      </w:numPr>
      <w:tabs>
        <w:tab w:val="right" w:leader="dot" w:pos="6521"/>
      </w:tabs>
      <w:spacing w:before="0" w:after="0"/>
    </w:pPr>
  </w:style>
  <w:style w:type="paragraph" w:customStyle="1" w:styleId="TOFTitle">
    <w:name w:val="TOFTitle"/>
    <w:basedOn w:val="TOCTitle"/>
    <w:rsid w:val="008D19EC"/>
  </w:style>
  <w:style w:type="paragraph" w:styleId="TableofFigures">
    <w:name w:val="table of figures"/>
    <w:basedOn w:val="Normal"/>
    <w:next w:val="Normal"/>
    <w:semiHidden/>
    <w:rsid w:val="008D19EC"/>
    <w:pPr>
      <w:tabs>
        <w:tab w:val="right" w:leader="dot" w:pos="9072"/>
      </w:tabs>
      <w:ind w:left="970" w:hanging="403"/>
    </w:pPr>
    <w:rPr>
      <w:rFonts w:ascii="Times New Roman" w:hAnsi="Times New Roman"/>
      <w:b/>
    </w:rPr>
  </w:style>
  <w:style w:type="paragraph" w:styleId="ListNumber">
    <w:name w:val="List Number"/>
    <w:basedOn w:val="List"/>
    <w:rsid w:val="008D19EC"/>
    <w:pPr>
      <w:numPr>
        <w:numId w:val="15"/>
      </w:numPr>
      <w:tabs>
        <w:tab w:val="clear" w:pos="340"/>
      </w:tabs>
    </w:pPr>
  </w:style>
  <w:style w:type="character" w:customStyle="1" w:styleId="WingdingSymbols">
    <w:name w:val="Wingding Symbols"/>
    <w:rsid w:val="008D19EC"/>
    <w:rPr>
      <w:rFonts w:ascii="Wingdings" w:hAnsi="Wingdings"/>
    </w:rPr>
  </w:style>
  <w:style w:type="paragraph" w:customStyle="1" w:styleId="TableHeading">
    <w:name w:val="Table Heading"/>
    <w:basedOn w:val="HeadingBase"/>
    <w:rsid w:val="008D19EC"/>
    <w:pPr>
      <w:keepLines/>
      <w:pBdr>
        <w:bottom w:val="single" w:sz="6" w:space="1" w:color="918585"/>
      </w:pBdr>
      <w:spacing w:before="240"/>
    </w:pPr>
  </w:style>
  <w:style w:type="character" w:customStyle="1" w:styleId="HotSpot">
    <w:name w:val="HotSpot"/>
    <w:rsid w:val="008D19EC"/>
    <w:rPr>
      <w:color w:val="0033CC"/>
      <w:u w:val="none"/>
    </w:rPr>
  </w:style>
  <w:style w:type="paragraph" w:customStyle="1" w:styleId="BodyTextRight">
    <w:name w:val="Body Text Right"/>
    <w:basedOn w:val="BodyText"/>
    <w:rsid w:val="008D19EC"/>
    <w:pPr>
      <w:spacing w:before="0" w:after="0"/>
      <w:jc w:val="right"/>
    </w:pPr>
  </w:style>
  <w:style w:type="paragraph" w:styleId="Index3">
    <w:name w:val="index 3"/>
    <w:basedOn w:val="ListNumber2"/>
    <w:next w:val="Normal"/>
    <w:semiHidden/>
    <w:rsid w:val="008D19EC"/>
    <w:pPr>
      <w:numPr>
        <w:numId w:val="0"/>
      </w:numPr>
      <w:tabs>
        <w:tab w:val="right" w:leader="dot" w:pos="4176"/>
      </w:tabs>
    </w:pPr>
  </w:style>
  <w:style w:type="paragraph" w:styleId="ListNumber2">
    <w:name w:val="List Number 2"/>
    <w:basedOn w:val="List2"/>
    <w:rsid w:val="008D19EC"/>
    <w:pPr>
      <w:numPr>
        <w:numId w:val="10"/>
      </w:numPr>
      <w:tabs>
        <w:tab w:val="clear" w:pos="1060"/>
      </w:tabs>
    </w:pPr>
  </w:style>
  <w:style w:type="paragraph" w:customStyle="1" w:styleId="MarginNote">
    <w:name w:val="Margin Note"/>
    <w:basedOn w:val="BodyText"/>
    <w:rsid w:val="008D1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19EC"/>
    <w:rPr>
      <w:sz w:val="32"/>
    </w:rPr>
  </w:style>
  <w:style w:type="paragraph" w:customStyle="1" w:styleId="HeadingProcedure">
    <w:name w:val="Heading Procedure"/>
    <w:basedOn w:val="HeadingBase"/>
    <w:next w:val="Normal"/>
    <w:rsid w:val="008D19EC"/>
    <w:pPr>
      <w:tabs>
        <w:tab w:val="left" w:pos="0"/>
      </w:tabs>
      <w:spacing w:before="120" w:after="60"/>
    </w:pPr>
    <w:rPr>
      <w:i/>
      <w:color w:val="918585"/>
      <w:sz w:val="22"/>
    </w:rPr>
  </w:style>
  <w:style w:type="paragraph" w:customStyle="1" w:styleId="TableBodyText">
    <w:name w:val="Table Body Text"/>
    <w:basedOn w:val="BodyText"/>
    <w:rsid w:val="008D19EC"/>
    <w:pPr>
      <w:spacing w:before="60" w:after="60"/>
    </w:pPr>
  </w:style>
  <w:style w:type="paragraph" w:styleId="ListContinue">
    <w:name w:val="List Continue"/>
    <w:basedOn w:val="List"/>
    <w:rsid w:val="008D19EC"/>
    <w:pPr>
      <w:ind w:firstLine="0"/>
    </w:pPr>
  </w:style>
  <w:style w:type="paragraph" w:customStyle="1" w:styleId="ListNote">
    <w:name w:val="List Note"/>
    <w:basedOn w:val="List"/>
    <w:rsid w:val="008D19EC"/>
    <w:pPr>
      <w:pBdr>
        <w:top w:val="single" w:sz="6" w:space="2" w:color="918585"/>
        <w:bottom w:val="single" w:sz="6" w:space="2" w:color="918585"/>
      </w:pBdr>
      <w:tabs>
        <w:tab w:val="left" w:pos="1021"/>
      </w:tabs>
      <w:ind w:firstLine="0"/>
    </w:pPr>
  </w:style>
  <w:style w:type="paragraph" w:customStyle="1" w:styleId="Warning">
    <w:name w:val="Warning"/>
    <w:basedOn w:val="BodyText"/>
    <w:rsid w:val="008D19EC"/>
    <w:pPr>
      <w:shd w:val="clear" w:color="auto" w:fill="D9D9D9"/>
      <w:tabs>
        <w:tab w:val="left" w:pos="992"/>
      </w:tabs>
      <w:ind w:left="119" w:right="119"/>
    </w:pPr>
    <w:rPr>
      <w:sz w:val="20"/>
    </w:rPr>
  </w:style>
  <w:style w:type="paragraph" w:customStyle="1" w:styleId="MarginIcons">
    <w:name w:val="Margin Icons"/>
    <w:basedOn w:val="BodyText"/>
    <w:rsid w:val="008D1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9EC"/>
    <w:rPr>
      <w:rFonts w:ascii="Courier New" w:hAnsi="Courier New"/>
    </w:rPr>
  </w:style>
  <w:style w:type="paragraph" w:customStyle="1" w:styleId="NoteBullet">
    <w:name w:val="Note Bullet"/>
    <w:basedOn w:val="Note"/>
    <w:rsid w:val="008D19EC"/>
    <w:pPr>
      <w:tabs>
        <w:tab w:val="clear" w:pos="680"/>
      </w:tabs>
      <w:spacing w:before="60" w:after="60"/>
    </w:pPr>
  </w:style>
  <w:style w:type="paragraph" w:customStyle="1" w:styleId="SubHeading2">
    <w:name w:val="SubHeading2"/>
    <w:basedOn w:val="HeadingBase"/>
    <w:rsid w:val="008D19EC"/>
    <w:pPr>
      <w:spacing w:before="240" w:after="60"/>
    </w:pPr>
    <w:rPr>
      <w:sz w:val="20"/>
    </w:rPr>
  </w:style>
  <w:style w:type="paragraph" w:customStyle="1" w:styleId="SubHeading1">
    <w:name w:val="SubHeading1"/>
    <w:basedOn w:val="HeadingBase"/>
    <w:rsid w:val="008D19EC"/>
    <w:pPr>
      <w:spacing w:before="240" w:after="60"/>
    </w:pPr>
    <w:rPr>
      <w:color w:val="918585"/>
      <w:sz w:val="22"/>
    </w:rPr>
  </w:style>
  <w:style w:type="paragraph" w:customStyle="1" w:styleId="SideHeading">
    <w:name w:val="Side Heading"/>
    <w:basedOn w:val="HeadingBase"/>
    <w:rsid w:val="008D1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9EC"/>
    <w:pPr>
      <w:tabs>
        <w:tab w:val="num" w:pos="360"/>
      </w:tabs>
    </w:pPr>
  </w:style>
  <w:style w:type="paragraph" w:styleId="PlainText">
    <w:name w:val="Plain Text"/>
    <w:basedOn w:val="Normal"/>
    <w:link w:val="PlainTextChar"/>
    <w:rsid w:val="008D19EC"/>
    <w:rPr>
      <w:sz w:val="20"/>
    </w:rPr>
  </w:style>
  <w:style w:type="character" w:customStyle="1" w:styleId="PlainTextChar">
    <w:name w:val="Plain Text Char"/>
    <w:basedOn w:val="DefaultParagraphFont"/>
    <w:link w:val="PlainText"/>
    <w:rsid w:val="008D19EC"/>
    <w:rPr>
      <w:rFonts w:ascii="Courier New" w:eastAsia="Times New Roman" w:hAnsi="Courier New" w:cs="Times New Roman"/>
      <w:sz w:val="20"/>
      <w:szCs w:val="20"/>
      <w:lang w:eastAsia="en-US"/>
    </w:rPr>
  </w:style>
  <w:style w:type="character" w:customStyle="1" w:styleId="MenuOption">
    <w:name w:val="Menu Option"/>
    <w:basedOn w:val="DefaultParagraphFont"/>
    <w:rsid w:val="008D19EC"/>
    <w:rPr>
      <w:b/>
      <w:smallCaps/>
    </w:rPr>
  </w:style>
  <w:style w:type="paragraph" w:customStyle="1" w:styleId="TableListNumber">
    <w:name w:val="Table List Number"/>
    <w:basedOn w:val="ListNumber"/>
    <w:rsid w:val="008D19EC"/>
    <w:pPr>
      <w:numPr>
        <w:numId w:val="0"/>
      </w:numPr>
    </w:pPr>
  </w:style>
  <w:style w:type="paragraph" w:styleId="TOC4">
    <w:name w:val="toc 4"/>
    <w:basedOn w:val="TOCBase"/>
    <w:next w:val="Normal"/>
    <w:semiHidden/>
    <w:rsid w:val="008D19EC"/>
    <w:pPr>
      <w:tabs>
        <w:tab w:val="right" w:leader="dot" w:pos="9071"/>
      </w:tabs>
      <w:ind w:left="1701"/>
    </w:pPr>
  </w:style>
  <w:style w:type="paragraph" w:customStyle="1" w:styleId="ListAlpha">
    <w:name w:val="List Alpha"/>
    <w:basedOn w:val="List"/>
    <w:rsid w:val="008D19EC"/>
    <w:pPr>
      <w:numPr>
        <w:numId w:val="9"/>
      </w:numPr>
    </w:pPr>
  </w:style>
  <w:style w:type="paragraph" w:customStyle="1" w:styleId="ListAlpha2">
    <w:name w:val="List Alpha 2"/>
    <w:basedOn w:val="List2"/>
    <w:rsid w:val="008D19EC"/>
    <w:pPr>
      <w:numPr>
        <w:numId w:val="8"/>
      </w:numPr>
    </w:pPr>
  </w:style>
  <w:style w:type="paragraph" w:styleId="List2">
    <w:name w:val="List 2"/>
    <w:basedOn w:val="BodyText"/>
    <w:rsid w:val="008D19EC"/>
    <w:pPr>
      <w:tabs>
        <w:tab w:val="left" w:pos="680"/>
      </w:tabs>
      <w:spacing w:before="60" w:after="60"/>
      <w:ind w:left="680" w:hanging="340"/>
    </w:pPr>
  </w:style>
  <w:style w:type="paragraph" w:styleId="List3">
    <w:name w:val="List 3"/>
    <w:basedOn w:val="BodyText"/>
    <w:rsid w:val="008D19EC"/>
    <w:pPr>
      <w:tabs>
        <w:tab w:val="left" w:pos="1021"/>
      </w:tabs>
      <w:spacing w:before="60" w:after="60"/>
      <w:ind w:left="1020" w:hanging="340"/>
    </w:pPr>
  </w:style>
  <w:style w:type="paragraph" w:styleId="List4">
    <w:name w:val="List 4"/>
    <w:basedOn w:val="BodyText"/>
    <w:rsid w:val="008D19EC"/>
    <w:pPr>
      <w:tabs>
        <w:tab w:val="left" w:pos="1361"/>
      </w:tabs>
      <w:spacing w:before="60" w:after="60"/>
      <w:ind w:left="1361" w:hanging="340"/>
    </w:pPr>
  </w:style>
  <w:style w:type="paragraph" w:styleId="List5">
    <w:name w:val="List 5"/>
    <w:basedOn w:val="BodyText"/>
    <w:rsid w:val="008D19EC"/>
    <w:pPr>
      <w:tabs>
        <w:tab w:val="left" w:pos="1701"/>
      </w:tabs>
      <w:spacing w:before="60" w:after="60"/>
      <w:ind w:left="1701" w:hanging="340"/>
    </w:pPr>
  </w:style>
  <w:style w:type="paragraph" w:styleId="ListBullet3">
    <w:name w:val="List Bullet 3"/>
    <w:basedOn w:val="List3"/>
    <w:rsid w:val="008D19EC"/>
    <w:pPr>
      <w:numPr>
        <w:numId w:val="14"/>
      </w:numPr>
      <w:tabs>
        <w:tab w:val="clear" w:pos="1021"/>
      </w:tabs>
      <w:ind w:left="1037" w:hanging="357"/>
    </w:pPr>
  </w:style>
  <w:style w:type="paragraph" w:styleId="ListBullet4">
    <w:name w:val="List Bullet 4"/>
    <w:basedOn w:val="List4"/>
    <w:rsid w:val="008D19EC"/>
    <w:pPr>
      <w:numPr>
        <w:numId w:val="3"/>
      </w:numPr>
      <w:tabs>
        <w:tab w:val="clear" w:pos="1361"/>
      </w:tabs>
    </w:pPr>
  </w:style>
  <w:style w:type="paragraph" w:styleId="ListBullet5">
    <w:name w:val="List Bullet 5"/>
    <w:basedOn w:val="List5"/>
    <w:rsid w:val="008D19EC"/>
    <w:pPr>
      <w:numPr>
        <w:numId w:val="4"/>
      </w:numPr>
    </w:pPr>
  </w:style>
  <w:style w:type="paragraph" w:styleId="ListContinue2">
    <w:name w:val="List Continue 2"/>
    <w:basedOn w:val="List2"/>
    <w:rsid w:val="008D19EC"/>
    <w:pPr>
      <w:ind w:firstLine="0"/>
    </w:pPr>
  </w:style>
  <w:style w:type="paragraph" w:styleId="ListContinue3">
    <w:name w:val="List Continue 3"/>
    <w:basedOn w:val="List3"/>
    <w:rsid w:val="008D19EC"/>
    <w:pPr>
      <w:ind w:left="1021" w:firstLine="0"/>
    </w:pPr>
  </w:style>
  <w:style w:type="paragraph" w:styleId="ListContinue4">
    <w:name w:val="List Continue 4"/>
    <w:basedOn w:val="List4"/>
    <w:rsid w:val="008D19EC"/>
    <w:pPr>
      <w:ind w:firstLine="0"/>
    </w:pPr>
  </w:style>
  <w:style w:type="paragraph" w:styleId="ListContinue5">
    <w:name w:val="List Continue 5"/>
    <w:basedOn w:val="List5"/>
    <w:rsid w:val="008D19EC"/>
    <w:pPr>
      <w:ind w:firstLine="0"/>
    </w:pPr>
  </w:style>
  <w:style w:type="paragraph" w:styleId="ListNumber3">
    <w:name w:val="List Number 3"/>
    <w:basedOn w:val="List3"/>
    <w:rsid w:val="008D19EC"/>
    <w:pPr>
      <w:numPr>
        <w:numId w:val="5"/>
      </w:numPr>
    </w:pPr>
  </w:style>
  <w:style w:type="paragraph" w:styleId="ListNumber4">
    <w:name w:val="List Number 4"/>
    <w:basedOn w:val="List4"/>
    <w:rsid w:val="008D19EC"/>
    <w:pPr>
      <w:numPr>
        <w:numId w:val="6"/>
      </w:numPr>
    </w:pPr>
  </w:style>
  <w:style w:type="paragraph" w:styleId="ListNumber5">
    <w:name w:val="List Number 5"/>
    <w:basedOn w:val="List5"/>
    <w:rsid w:val="008D19EC"/>
    <w:pPr>
      <w:numPr>
        <w:numId w:val="7"/>
      </w:numPr>
    </w:pPr>
  </w:style>
  <w:style w:type="paragraph" w:styleId="BlockText">
    <w:name w:val="Block Text"/>
    <w:basedOn w:val="Normal"/>
    <w:rsid w:val="008D19EC"/>
    <w:pPr>
      <w:spacing w:after="120"/>
      <w:ind w:left="1440" w:right="1440"/>
    </w:pPr>
  </w:style>
  <w:style w:type="character" w:customStyle="1" w:styleId="Subscript">
    <w:name w:val="Subscript"/>
    <w:basedOn w:val="DefaultParagraphFont"/>
    <w:rsid w:val="008D19EC"/>
    <w:rPr>
      <w:sz w:val="16"/>
      <w:vertAlign w:val="subscript"/>
    </w:rPr>
  </w:style>
  <w:style w:type="character" w:customStyle="1" w:styleId="Superscript">
    <w:name w:val="Superscript"/>
    <w:basedOn w:val="DefaultParagraphFont"/>
    <w:rsid w:val="008D19EC"/>
    <w:rPr>
      <w:sz w:val="16"/>
      <w:vertAlign w:val="superscript"/>
    </w:rPr>
  </w:style>
  <w:style w:type="character" w:customStyle="1" w:styleId="Symbols">
    <w:name w:val="Symbols"/>
    <w:basedOn w:val="DefaultParagraphFont"/>
    <w:rsid w:val="008D19EC"/>
    <w:rPr>
      <w:rFonts w:ascii="Symbol" w:hAnsi="Symbol"/>
    </w:rPr>
  </w:style>
  <w:style w:type="character" w:customStyle="1" w:styleId="MenuOptions">
    <w:name w:val="Menu Options"/>
    <w:basedOn w:val="DefaultParagraphFont"/>
    <w:rsid w:val="008D19EC"/>
    <w:rPr>
      <w:rFonts w:ascii="Arial Narrow" w:hAnsi="Arial Narrow"/>
      <w:smallCaps/>
    </w:rPr>
  </w:style>
  <w:style w:type="character" w:customStyle="1" w:styleId="Buttons">
    <w:name w:val="Buttons"/>
    <w:basedOn w:val="DefaultParagraphFont"/>
    <w:rsid w:val="008D19EC"/>
    <w:rPr>
      <w:b/>
    </w:rPr>
  </w:style>
  <w:style w:type="character" w:customStyle="1" w:styleId="Underlined">
    <w:name w:val="Underlined"/>
    <w:basedOn w:val="DefaultParagraphFont"/>
    <w:rsid w:val="008D19EC"/>
    <w:rPr>
      <w:u w:val="single"/>
    </w:rPr>
  </w:style>
  <w:style w:type="paragraph" w:customStyle="1" w:styleId="TableBodyTextRight">
    <w:name w:val="Table Body Text Right"/>
    <w:basedOn w:val="TableBodyText"/>
    <w:rsid w:val="008D19EC"/>
    <w:pPr>
      <w:widowControl w:val="0"/>
      <w:autoSpaceDE w:val="0"/>
      <w:autoSpaceDN w:val="0"/>
      <w:adjustRightInd w:val="0"/>
      <w:jc w:val="right"/>
    </w:pPr>
    <w:rPr>
      <w:rFonts w:cs="Arial"/>
      <w:szCs w:val="18"/>
    </w:rPr>
  </w:style>
  <w:style w:type="paragraph" w:customStyle="1" w:styleId="CopyrightText">
    <w:name w:val="Copyright Text"/>
    <w:basedOn w:val="BodyText"/>
    <w:rsid w:val="008D19EC"/>
    <w:rPr>
      <w:sz w:val="18"/>
    </w:rPr>
  </w:style>
  <w:style w:type="paragraph" w:customStyle="1" w:styleId="BodySmallRight">
    <w:name w:val="Body Small Right"/>
    <w:basedOn w:val="BodyTextRight"/>
    <w:rsid w:val="008D19EC"/>
    <w:rPr>
      <w:sz w:val="18"/>
      <w:szCs w:val="18"/>
    </w:rPr>
  </w:style>
  <w:style w:type="paragraph" w:customStyle="1" w:styleId="MarginEdition">
    <w:name w:val="Margin Edition"/>
    <w:basedOn w:val="MarginNote"/>
    <w:rsid w:val="008D19EC"/>
    <w:pPr>
      <w:spacing w:before="0" w:after="0"/>
    </w:pPr>
    <w:rPr>
      <w:rFonts w:ascii="Times New Roman" w:hAnsi="Times New Roman"/>
      <w:color w:val="999999"/>
    </w:rPr>
  </w:style>
  <w:style w:type="paragraph" w:customStyle="1" w:styleId="Spacer">
    <w:name w:val="Spacer"/>
    <w:basedOn w:val="Normal"/>
    <w:rsid w:val="008D19EC"/>
    <w:rPr>
      <w:sz w:val="2"/>
      <w:szCs w:val="2"/>
    </w:rPr>
  </w:style>
  <w:style w:type="character" w:customStyle="1" w:styleId="Small">
    <w:name w:val="Small"/>
    <w:basedOn w:val="DefaultParagraphFont"/>
    <w:rsid w:val="008D19EC"/>
    <w:rPr>
      <w:sz w:val="16"/>
    </w:rPr>
  </w:style>
  <w:style w:type="paragraph" w:customStyle="1" w:styleId="WideTable">
    <w:name w:val="Wide Table"/>
    <w:basedOn w:val="Normal"/>
    <w:rsid w:val="008D19EC"/>
    <w:pPr>
      <w:ind w:left="-1418"/>
    </w:pPr>
    <w:rPr>
      <w:sz w:val="2"/>
      <w:szCs w:val="2"/>
    </w:rPr>
  </w:style>
  <w:style w:type="character" w:styleId="PageNumber">
    <w:name w:val="page number"/>
    <w:basedOn w:val="DefaultParagraphFont"/>
    <w:rsid w:val="008D19EC"/>
  </w:style>
  <w:style w:type="paragraph" w:styleId="Quote">
    <w:name w:val="Quote"/>
    <w:basedOn w:val="Heading1"/>
    <w:link w:val="QuoteChar"/>
    <w:qFormat/>
    <w:rsid w:val="008D19EC"/>
    <w:rPr>
      <w:b w:val="0"/>
      <w:sz w:val="72"/>
      <w:szCs w:val="72"/>
      <w:lang w:val="en-NZ"/>
    </w:rPr>
  </w:style>
  <w:style w:type="character" w:customStyle="1" w:styleId="QuoteChar">
    <w:name w:val="Quote Char"/>
    <w:basedOn w:val="DefaultParagraphFont"/>
    <w:link w:val="Quote"/>
    <w:rsid w:val="008D1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9EC"/>
    <w:pPr>
      <w:pageBreakBefore/>
    </w:pPr>
  </w:style>
  <w:style w:type="paragraph" w:customStyle="1" w:styleId="Border">
    <w:name w:val="Border"/>
    <w:basedOn w:val="Normal"/>
    <w:qFormat/>
    <w:rsid w:val="008D1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9EC"/>
    <w:rPr>
      <w:b/>
      <w:bCs/>
      <w:i/>
      <w:iCs/>
      <w:color w:val="auto"/>
    </w:rPr>
  </w:style>
  <w:style w:type="paragraph" w:styleId="IntenseQuote">
    <w:name w:val="Intense Quote"/>
    <w:basedOn w:val="Normal"/>
    <w:next w:val="Normal"/>
    <w:link w:val="IntenseQuoteChar"/>
    <w:uiPriority w:val="30"/>
    <w:qFormat/>
    <w:rsid w:val="008D1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19EC"/>
    <w:rPr>
      <w:smallCaps/>
      <w:color w:val="auto"/>
      <w:u w:val="single"/>
    </w:rPr>
  </w:style>
  <w:style w:type="character" w:styleId="IntenseReference">
    <w:name w:val="Intense Reference"/>
    <w:basedOn w:val="DefaultParagraphFont"/>
    <w:uiPriority w:val="32"/>
    <w:qFormat/>
    <w:rsid w:val="008D19EC"/>
    <w:rPr>
      <w:b/>
      <w:bCs/>
      <w:smallCaps/>
      <w:color w:val="auto"/>
      <w:spacing w:val="5"/>
      <w:u w:val="single"/>
    </w:rPr>
  </w:style>
  <w:style w:type="paragraph" w:customStyle="1" w:styleId="2ColumnHeading">
    <w:name w:val="2Column Heading"/>
    <w:basedOn w:val="BodyText"/>
    <w:qFormat/>
    <w:rsid w:val="008D19EC"/>
    <w:pPr>
      <w:spacing w:after="60"/>
      <w:ind w:left="-2268"/>
    </w:pPr>
    <w:rPr>
      <w:b/>
    </w:rPr>
  </w:style>
  <w:style w:type="paragraph" w:customStyle="1" w:styleId="Heading1TOC">
    <w:name w:val="Heading1 TOC"/>
    <w:basedOn w:val="Normal"/>
    <w:qFormat/>
    <w:rsid w:val="008D19EC"/>
    <w:pPr>
      <w:spacing w:before="240" w:after="120"/>
    </w:pPr>
    <w:rPr>
      <w:rFonts w:ascii="Times New Roman" w:hAnsi="Times New Roman"/>
      <w:b/>
      <w:sz w:val="32"/>
    </w:rPr>
  </w:style>
  <w:style w:type="paragraph" w:customStyle="1" w:styleId="Heading2TOC">
    <w:name w:val="Heading2 TOC"/>
    <w:basedOn w:val="Normal"/>
    <w:qFormat/>
    <w:rsid w:val="008D19EC"/>
    <w:pPr>
      <w:spacing w:before="240" w:after="60"/>
    </w:pPr>
    <w:rPr>
      <w:rFonts w:ascii="Times New Roman" w:hAnsi="Times New Roman"/>
      <w:b/>
      <w:sz w:val="28"/>
    </w:rPr>
  </w:style>
  <w:style w:type="character" w:customStyle="1" w:styleId="Underline">
    <w:name w:val="Underline"/>
    <w:basedOn w:val="DefaultParagraphFont"/>
    <w:qFormat/>
    <w:rsid w:val="008D19EC"/>
    <w:rPr>
      <w:u w:val="single"/>
    </w:rPr>
  </w:style>
  <w:style w:type="character" w:customStyle="1" w:styleId="BoldandItalics">
    <w:name w:val="Bold and Italics"/>
    <w:qFormat/>
    <w:rsid w:val="008D19EC"/>
    <w:rPr>
      <w:b/>
      <w:i/>
      <w:u w:val="none"/>
    </w:rPr>
  </w:style>
  <w:style w:type="paragraph" w:styleId="BalloonText">
    <w:name w:val="Balloon Text"/>
    <w:basedOn w:val="Normal"/>
    <w:link w:val="BalloonTextChar"/>
    <w:rsid w:val="008D19EC"/>
    <w:rPr>
      <w:rFonts w:ascii="Tahoma" w:hAnsi="Tahoma" w:cs="Tahoma"/>
      <w:sz w:val="16"/>
      <w:szCs w:val="16"/>
    </w:rPr>
  </w:style>
  <w:style w:type="character" w:customStyle="1" w:styleId="BalloonTextChar">
    <w:name w:val="Balloon Text Char"/>
    <w:basedOn w:val="DefaultParagraphFont"/>
    <w:link w:val="BalloonText"/>
    <w:rsid w:val="008D1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19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1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19EC"/>
    <w:rPr>
      <w:b/>
      <w:color w:val="660033"/>
      <w:spacing w:val="0"/>
    </w:rPr>
  </w:style>
  <w:style w:type="paragraph" w:customStyle="1" w:styleId="Nameditemlist">
    <w:name w:val="Named item list"/>
    <w:basedOn w:val="BodyText"/>
    <w:qFormat/>
    <w:rsid w:val="008D19EC"/>
    <w:pPr>
      <w:tabs>
        <w:tab w:val="left" w:pos="2835"/>
      </w:tabs>
      <w:ind w:left="2835" w:hanging="2835"/>
    </w:pPr>
  </w:style>
  <w:style w:type="paragraph" w:customStyle="1" w:styleId="BodyTextnopadding">
    <w:name w:val="Body Text no padding"/>
    <w:basedOn w:val="BodyText"/>
    <w:qFormat/>
    <w:rsid w:val="008D19EC"/>
    <w:pPr>
      <w:spacing w:before="0" w:after="0"/>
    </w:pPr>
  </w:style>
  <w:style w:type="paragraph" w:customStyle="1" w:styleId="BodyTextBold">
    <w:name w:val="Body Text Bold"/>
    <w:basedOn w:val="BodyText"/>
    <w:qFormat/>
    <w:rsid w:val="008D19EC"/>
    <w:rPr>
      <w:b/>
    </w:rPr>
  </w:style>
  <w:style w:type="character" w:styleId="Hyperlink">
    <w:name w:val="Hyperlink"/>
    <w:basedOn w:val="DefaultParagraphFont"/>
    <w:uiPriority w:val="99"/>
    <w:unhideWhenUsed/>
    <w:rsid w:val="00440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6680</Characters>
  <Application>Microsoft Office Word</Application>
  <DocSecurity>0</DocSecurity>
  <Lines>202</Lines>
  <Paragraphs>132</Paragraphs>
  <ScaleCrop>false</ScaleCrop>
  <Company>Author-it Software Corporation Ltd.</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MEM23116 Evaluate programmable logic controller and related control system component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2023-02-03T06:19:00Z</dcterms:created>
  <dcterms:modified xsi:type="dcterms:W3CDTF">2023-02-03T06:19:00Z</dcterms:modified>
</cp:coreProperties>
</file>