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727" w:rsidP="004C37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MEM23114 Evaluate thermodynamic systems and components</w:t>
      </w:r>
      <w:r>
        <w:fldChar w:fldCharType="end"/>
      </w:r>
    </w:p>
    <w:p w:rsidR="004C3727" w:rsidP="004C3727">
      <w:pPr>
        <w:pStyle w:val="Version"/>
        <w:sectPr w:rsidSect="00B800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0000" w:rsidP="00B80000">
      <w:pPr>
        <w:pStyle w:val="SuperHeading"/>
      </w:pPr>
      <w:r w:rsidRPr="00B80000">
        <w:t>MEM23114 Evaluate thermodynamic systems and components</w:t>
      </w:r>
    </w:p>
    <w:p w:rsidR="00000000" w:rsidRPr="00B80000" w:rsidP="00B80000">
      <w:pPr>
        <w:pStyle w:val="Heading1"/>
      </w:pPr>
      <w:bookmarkStart w:id="1" w:name="O_944018"/>
      <w:bookmarkEnd w:id="1"/>
      <w:r w:rsidRPr="00B80000">
        <w:t>Modification History</w:t>
      </w:r>
    </w:p>
    <w:p w:rsidR="004C3727" w:rsidP="004C3727">
      <w:pPr>
        <w:pStyle w:val="BodyText"/>
      </w:pPr>
      <w:r w:rsidRPr="00B80000">
        <w:t>Release 1. Supersedes and is equivalent to MEM23114A Evaluate thermodynamic systems and components.</w:t>
      </w:r>
    </w:p>
    <w:p w:rsidR="00000000" w:rsidRPr="00B80000" w:rsidP="00B80000">
      <w:pPr>
        <w:pStyle w:val="Heading1"/>
      </w:pPr>
      <w:bookmarkStart w:id="2" w:name="O_944026"/>
      <w:bookmarkEnd w:id="2"/>
      <w:r w:rsidRPr="00B80000">
        <w:t>Application</w:t>
      </w:r>
    </w:p>
    <w:p w:rsidR="00000000" w:rsidRPr="00B80000" w:rsidP="004C3727">
      <w:pPr>
        <w:pStyle w:val="BodyText"/>
      </w:pPr>
      <w:r w:rsidRPr="00B80000">
        <w:t>This unit of competency defines the skills and knowledge required to evaluate thermodynam</w:t>
      </w:r>
      <w:r w:rsidRPr="00B80000">
        <w:t>ic systems and components including heat exchangers, heat engines, refrigeration, air conditioners and air compressors.</w:t>
      </w:r>
    </w:p>
    <w:p w:rsidR="00000000" w:rsidRPr="00B80000" w:rsidP="004C3727">
      <w:pPr>
        <w:pStyle w:val="BodyText"/>
      </w:pPr>
      <w:r w:rsidRPr="00B80000">
        <w:t>The evaluation can be undertaken as part of a design or system selection process or to assess system condition, sustainability or effici</w:t>
      </w:r>
      <w:r w:rsidRPr="00B80000">
        <w:t>ency. It is suitable for people working as technicians or system designers and draftspersons, and for those pursuing careers and qualifications in engineering or related disciplines.</w:t>
      </w:r>
    </w:p>
    <w:p w:rsidR="004C3727" w:rsidP="004C3727">
      <w:pPr>
        <w:pStyle w:val="BodyText"/>
      </w:pPr>
      <w:r w:rsidRPr="00B80000">
        <w:t>No licensing, legislative or certification requirements apply to this uni</w:t>
      </w:r>
      <w:r w:rsidRPr="00B80000">
        <w:t>t at the time of publication.</w:t>
      </w:r>
    </w:p>
    <w:p w:rsidR="00000000" w:rsidRPr="00B80000" w:rsidP="00B80000">
      <w:pPr>
        <w:pStyle w:val="Heading1"/>
      </w:pPr>
      <w:bookmarkStart w:id="3" w:name="O_944025"/>
      <w:bookmarkEnd w:id="3"/>
      <w:r w:rsidRPr="00B80000">
        <w:t>Pre-requisite Unit</w:t>
      </w:r>
    </w:p>
    <w:p w:rsidR="00000000" w:rsidRPr="00B80000" w:rsidP="004C3727">
      <w:pPr>
        <w:pStyle w:val="BodyText"/>
      </w:pPr>
      <w:r w:rsidRPr="00B80000">
        <w:t>MEM23004 Apply technical mathematics</w:t>
      </w:r>
    </w:p>
    <w:p w:rsidR="004C3727" w:rsidP="004C3727">
      <w:pPr>
        <w:pStyle w:val="BodyText"/>
      </w:pPr>
      <w:r w:rsidRPr="00B80000">
        <w:t>MEM23006 Apply fluid and thermodynamics principles in engineering</w:t>
      </w:r>
    </w:p>
    <w:p w:rsidR="00000000" w:rsidRPr="00B80000" w:rsidP="00B80000">
      <w:pPr>
        <w:pStyle w:val="Heading1"/>
      </w:pPr>
      <w:bookmarkStart w:id="4" w:name="O_944024"/>
      <w:bookmarkEnd w:id="4"/>
      <w:r w:rsidRPr="00B80000">
        <w:t>Competency Field</w:t>
      </w:r>
    </w:p>
    <w:p w:rsidR="004C3727" w:rsidP="004C3727">
      <w:pPr>
        <w:pStyle w:val="BodyText"/>
      </w:pPr>
      <w:r w:rsidRPr="00B80000">
        <w:t>Engineering science</w:t>
      </w:r>
    </w:p>
    <w:p w:rsidR="00000000" w:rsidRPr="00B80000" w:rsidP="00B80000">
      <w:pPr>
        <w:pStyle w:val="Heading1"/>
      </w:pPr>
      <w:bookmarkStart w:id="5" w:name="O_944022"/>
      <w:bookmarkEnd w:id="5"/>
      <w:r w:rsidRPr="00B80000">
        <w:t xml:space="preserve">Elements and </w:t>
      </w:r>
      <w:r w:rsidRPr="00B80000">
        <w:t>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4C3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BodyText"/>
            </w:pPr>
            <w:r w:rsidRPr="00B80000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rPr>
                <w:rStyle w:val="SpecialBold"/>
              </w:rPr>
              <w:t>Performance Criteria</w:t>
            </w:r>
          </w:p>
        </w:tc>
      </w:tr>
      <w:tr w:rsidTr="004C3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BodyText"/>
            </w:pPr>
            <w:r w:rsidRPr="00B80000">
              <w:rPr>
                <w:rStyle w:val="Emphasis"/>
              </w:rPr>
              <w:t xml:space="preserve">Elements describe the </w:t>
            </w:r>
            <w:r w:rsidRPr="00B80000">
              <w:t xml:space="preserve">essential </w:t>
            </w:r>
            <w:r w:rsidRPr="00B80000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3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1. Determine scope of thermodynamic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BodyText"/>
            </w:pPr>
            <w:r w:rsidRPr="00B80000">
              <w:t>1.1 Determine thermodynamic system and system components to be evaluated</w:t>
            </w:r>
          </w:p>
          <w:p w:rsidR="00000000" w:rsidRPr="00B80000" w:rsidP="00B80000">
            <w:pPr>
              <w:pStyle w:val="BodyText"/>
            </w:pPr>
            <w:r w:rsidRPr="00B80000">
              <w:t>1.2 Determine stakeholders to be consulted on the evaluation</w:t>
            </w:r>
          </w:p>
          <w:p w:rsidR="00000000" w:rsidRPr="00B80000" w:rsidP="00B80000">
            <w:pPr>
              <w:pStyle w:val="BodyText"/>
            </w:pPr>
            <w:r w:rsidRPr="00B80000">
              <w:t xml:space="preserve">1.3 Confirm that appropriate support, including technical and </w:t>
            </w:r>
            <w:r w:rsidRPr="00B80000">
              <w:t>professional assistance, is available</w:t>
            </w:r>
          </w:p>
          <w:p w:rsidR="00000000" w:rsidRPr="00B80000" w:rsidP="00B80000">
            <w:pPr>
              <w:pStyle w:val="BodyText"/>
            </w:pPr>
            <w:r w:rsidRPr="00B80000">
              <w:t>1.4 Determine work hea</w:t>
            </w:r>
            <w:r w:rsidRPr="00B80000">
              <w:t>lth and safety (WHS) and regulatory requirements, risk management and organisational procedures</w:t>
            </w:r>
          </w:p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1.5 Investigate sustainability implications of thermodynamic applications</w:t>
            </w:r>
          </w:p>
        </w:tc>
      </w:tr>
      <w:tr w:rsidTr="004C3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2. Identify principles and techniques required for evaluation of thermodynamic system and components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BodyText"/>
            </w:pPr>
            <w:r w:rsidRPr="00B80000">
              <w:t>2.1 Review features and functions of thermodynamic system and components</w:t>
            </w:r>
          </w:p>
          <w:p w:rsidR="00000000" w:rsidRPr="00B80000" w:rsidP="00B80000">
            <w:pPr>
              <w:pStyle w:val="BodyText"/>
            </w:pPr>
            <w:r w:rsidRPr="00B80000">
              <w:t xml:space="preserve">2.2 Determine thermodynamic principles and techniques required to evaluate system </w:t>
            </w:r>
            <w:r w:rsidRPr="00B80000">
              <w:t>and select and optimise components</w:t>
            </w:r>
          </w:p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2.3 Determine appropriate analysis techniques, software and software validation techniques</w:t>
            </w:r>
          </w:p>
        </w:tc>
      </w:tr>
      <w:tr w:rsidTr="004C3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3. Evaluate thermodynamic applications and components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BodyText"/>
            </w:pPr>
            <w:r w:rsidRPr="00B80000">
              <w:t>3.1 Assess the performance of heat transfer devices</w:t>
            </w:r>
          </w:p>
          <w:p w:rsidR="00000000" w:rsidRPr="00B80000" w:rsidP="00B80000">
            <w:pPr>
              <w:pStyle w:val="BodyText"/>
            </w:pPr>
            <w:r w:rsidRPr="00B80000">
              <w:t xml:space="preserve">3.2 Assess heat engine </w:t>
            </w:r>
            <w:r w:rsidRPr="00B80000">
              <w:t>performance</w:t>
            </w:r>
          </w:p>
          <w:p w:rsidR="00000000" w:rsidRPr="00B80000" w:rsidP="00B80000">
            <w:pPr>
              <w:pStyle w:val="BodyText"/>
            </w:pPr>
            <w:r w:rsidRPr="00B80000">
              <w:t>3.3 Assess combustion processes</w:t>
            </w:r>
          </w:p>
          <w:p w:rsidR="00000000" w:rsidRPr="00B80000" w:rsidP="00B80000">
            <w:pPr>
              <w:pStyle w:val="BodyText"/>
            </w:pPr>
            <w:r w:rsidRPr="00B80000">
              <w:t>3.4 Assess steam processes</w:t>
            </w:r>
          </w:p>
          <w:p w:rsidR="00000000" w:rsidRPr="00B80000" w:rsidP="00B80000">
            <w:pPr>
              <w:pStyle w:val="BodyText"/>
            </w:pPr>
            <w:r w:rsidRPr="00B80000">
              <w:t>3.5 Assess refrigeration and air conditioning processes</w:t>
            </w:r>
          </w:p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3.6 Assess air compression processes</w:t>
            </w:r>
          </w:p>
        </w:tc>
      </w:tr>
      <w:tr w:rsidTr="004C372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4. Report results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BodyText"/>
            </w:pPr>
            <w:r w:rsidRPr="00B80000">
              <w:t>4.1 Record outcomes of evaluation</w:t>
            </w:r>
          </w:p>
          <w:p w:rsidR="00000000" w:rsidRPr="00B80000" w:rsidP="00B80000">
            <w:pPr>
              <w:pStyle w:val="BodyText"/>
            </w:pPr>
            <w:r w:rsidRPr="00B80000">
              <w:t>4.2 Provide documentation including cal</w:t>
            </w:r>
            <w:r w:rsidRPr="00B80000">
              <w:t>culations, component and system layouts, and functional and thermodynamic cycle diagrams</w:t>
            </w:r>
          </w:p>
        </w:tc>
      </w:tr>
    </w:tbl>
    <w:p w:rsidR="004C3727" w:rsidP="00B80000">
      <w:pPr>
        <w:pStyle w:val="BodyText"/>
      </w:pPr>
    </w:p>
    <w:p w:rsidR="004C3727" w:rsidP="00B80000">
      <w:pPr>
        <w:pStyle w:val="BodyText"/>
      </w:pPr>
    </w:p>
    <w:p w:rsidR="00000000" w:rsidRPr="00B80000" w:rsidP="00B80000">
      <w:pPr>
        <w:pStyle w:val="Heading1"/>
      </w:pPr>
      <w:bookmarkStart w:id="6" w:name="O_944021"/>
      <w:bookmarkEnd w:id="6"/>
      <w:r w:rsidRPr="00B80000">
        <w:t>Foundation Skills</w:t>
      </w:r>
    </w:p>
    <w:p w:rsidR="00000000" w:rsidRPr="00B80000" w:rsidP="004C3727">
      <w:pPr>
        <w:pStyle w:val="BodyText"/>
      </w:pPr>
      <w:r w:rsidRPr="00B80000">
        <w:t>This section describes those language, literacy, numeracy and employment skills that are essential to performance.</w:t>
      </w:r>
    </w:p>
    <w:p w:rsidR="004C3727" w:rsidP="004C3727">
      <w:pPr>
        <w:pStyle w:val="BodyText"/>
      </w:pPr>
      <w:r w:rsidRPr="00B80000">
        <w:t>Foundation skills essential to performance are explicit in the performance criteria of this unit of competency.</w:t>
      </w:r>
    </w:p>
    <w:p w:rsidR="00000000" w:rsidRPr="00B80000" w:rsidP="00B80000">
      <w:pPr>
        <w:pStyle w:val="Heading1"/>
      </w:pPr>
      <w:bookmarkStart w:id="7" w:name="O_944020"/>
      <w:bookmarkEnd w:id="7"/>
      <w:r w:rsidRPr="00B80000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800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 xml:space="preserve">This field allows for different work environments and conditions that may affect performance. </w:t>
            </w:r>
            <w:r w:rsidRPr="00B80000">
              <w:t>Essential op</w:t>
            </w:r>
            <w:r w:rsidRPr="00B80000">
              <w:t>erating conditions that may be present (depending on the work situation, needs of the candidate, accessibility of the item, and local industry and regional contexts) are included.</w:t>
            </w:r>
          </w:p>
        </w:tc>
      </w:tr>
      <w:tr w:rsidTr="00B800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Sustainability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ListBullet"/>
            </w:pPr>
            <w:r w:rsidRPr="00B80000">
              <w:t>meeting all regulatory requirements</w:t>
            </w:r>
          </w:p>
          <w:p w:rsidR="00000000" w:rsidRPr="00B80000" w:rsidP="00B80000">
            <w:pPr>
              <w:pStyle w:val="ListBullet"/>
            </w:pPr>
            <w:r w:rsidRPr="00B80000">
              <w:t>conforming t</w:t>
            </w:r>
            <w:r w:rsidRPr="00B80000">
              <w:t>o all industry covenants, protocols and best practice guides</w:t>
            </w:r>
          </w:p>
          <w:p w:rsidR="00000000" w:rsidRPr="00B80000" w:rsidP="00B80000">
            <w:pPr>
              <w:pStyle w:val="ListBullet"/>
            </w:pPr>
            <w:r w:rsidRPr="00B80000">
              <w:t>minimising ecological and environmental footprint of process, plant and product</w:t>
            </w:r>
          </w:p>
          <w:p w:rsidR="00000000" w:rsidRPr="00B80000" w:rsidP="00B80000">
            <w:pPr>
              <w:pStyle w:val="ListBullet"/>
            </w:pPr>
            <w:r w:rsidRPr="00B80000">
              <w:t>maximising economic benefit of process plant and product to the organisation and the community</w:t>
            </w:r>
          </w:p>
          <w:p w:rsidR="00000000" w:rsidP="00B80000">
            <w:pPr>
              <w:pStyle w:val="ListBullet"/>
              <w:rPr>
                <w:lang w:val="en-NZ"/>
              </w:rPr>
            </w:pPr>
            <w:r w:rsidRPr="00B80000">
              <w:t>minimising the negat</w:t>
            </w:r>
            <w:r w:rsidRPr="00B80000">
              <w:t>ive WHS impact on employees, community and customer.</w:t>
            </w:r>
          </w:p>
        </w:tc>
      </w:tr>
      <w:tr w:rsidTr="00B800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Appropriate licensed technical and professional assistance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ListBullet"/>
            </w:pPr>
            <w:r w:rsidRPr="00B80000">
              <w:t xml:space="preserve">technical support and advice relating to elements which have intrinsic dangers </w:t>
            </w:r>
          </w:p>
          <w:p w:rsidR="00000000" w:rsidP="00B80000">
            <w:pPr>
              <w:pStyle w:val="ListBullet"/>
              <w:rPr>
                <w:lang w:val="en-NZ"/>
              </w:rPr>
            </w:pPr>
            <w:r w:rsidRPr="00B80000">
              <w:t>professional support for technologies.</w:t>
            </w:r>
          </w:p>
        </w:tc>
      </w:tr>
      <w:tr w:rsidTr="00B8000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0000">
            <w:pPr>
              <w:pStyle w:val="BodyText"/>
              <w:rPr>
                <w:lang w:val="en-NZ"/>
              </w:rPr>
            </w:pPr>
            <w:r w:rsidRPr="00B80000">
              <w:t>WHS, regulatory requirements and organisational procedures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0000" w:rsidP="00B80000">
            <w:pPr>
              <w:pStyle w:val="ListBullet"/>
            </w:pPr>
            <w:r w:rsidRPr="00B80000">
              <w:t>WHS acts, regulations and relevant standards</w:t>
            </w:r>
          </w:p>
          <w:p w:rsidR="00000000" w:rsidRPr="00B80000" w:rsidP="00B80000">
            <w:pPr>
              <w:pStyle w:val="ListBullet"/>
            </w:pPr>
            <w:r w:rsidRPr="00B80000">
              <w:t>codes of practice from Australian and overseas engineering and technical associations and societies</w:t>
            </w:r>
          </w:p>
          <w:p w:rsidR="00000000" w:rsidRPr="00B80000" w:rsidP="00B80000">
            <w:pPr>
              <w:pStyle w:val="ListBullet"/>
            </w:pPr>
            <w:r w:rsidRPr="00B80000">
              <w:t>risk assessments</w:t>
            </w:r>
          </w:p>
          <w:p w:rsidR="00000000" w:rsidRPr="00B80000" w:rsidP="00B80000">
            <w:pPr>
              <w:pStyle w:val="ListBullet"/>
            </w:pPr>
            <w:r w:rsidRPr="00B80000">
              <w:t>safe work practices</w:t>
            </w:r>
          </w:p>
          <w:p w:rsidR="00000000" w:rsidRPr="00B80000" w:rsidP="00B80000">
            <w:pPr>
              <w:pStyle w:val="ListBullet"/>
            </w:pPr>
            <w:r w:rsidRPr="00B80000">
              <w:t>state</w:t>
            </w:r>
            <w:r w:rsidRPr="00B80000">
              <w:t xml:space="preserve"> and territory regulatory requirements applying to electrical work.</w:t>
            </w:r>
          </w:p>
        </w:tc>
      </w:tr>
    </w:tbl>
    <w:p w:rsidR="004C3727" w:rsidP="00B80000">
      <w:pPr>
        <w:pStyle w:val="BodyText"/>
      </w:pPr>
    </w:p>
    <w:p w:rsidR="004C3727" w:rsidP="00B80000">
      <w:pPr>
        <w:pStyle w:val="BodyText"/>
      </w:pPr>
    </w:p>
    <w:p w:rsidR="00000000" w:rsidRPr="00B80000" w:rsidP="00B80000">
      <w:pPr>
        <w:pStyle w:val="Heading1"/>
      </w:pPr>
      <w:bookmarkStart w:id="8" w:name="O_944019"/>
      <w:bookmarkEnd w:id="8"/>
      <w:r w:rsidRPr="00B80000">
        <w:t>Unit Mapping Information</w:t>
      </w:r>
    </w:p>
    <w:p w:rsidR="004C3727" w:rsidP="004C3727">
      <w:pPr>
        <w:pStyle w:val="BodyText"/>
      </w:pPr>
      <w:r w:rsidRPr="00B80000">
        <w:t>Release 1. Supersedes and is equivalent to MEM23114A Evaluate thermodynamic systems and components.</w:t>
      </w:r>
    </w:p>
    <w:p w:rsidR="00000000" w:rsidRPr="00B80000" w:rsidP="00B80000">
      <w:pPr>
        <w:pStyle w:val="Heading1"/>
      </w:pPr>
      <w:bookmarkStart w:id="9" w:name="O_944012"/>
      <w:bookmarkEnd w:id="9"/>
      <w:r w:rsidRPr="00B80000">
        <w:t>Links</w:t>
      </w:r>
    </w:p>
    <w:p w:rsidR="00000000" w:rsidRPr="00B80000" w:rsidP="004C3727">
      <w:pPr>
        <w:pStyle w:val="BodyText"/>
      </w:pPr>
      <w:r w:rsidRPr="00B800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6654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80000" w:rsidP="00B80000"/>
    <w:sectPr w:rsidSect="00B800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00" w:rsidRPr="004C3727" w:rsidP="004C37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27" w:rsidP="00B800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727" w:rsidP="00B800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C3727" w:rsidP="00B800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0000" w:rsidRPr="004C3727" w:rsidP="004C37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0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727" w:rsidRPr="002D2AF8" w:rsidP="00B800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MEM23114 Evaluate thermodynamic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C3727" w:rsidP="00B800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5867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4A7D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0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00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00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00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00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00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00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00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00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00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00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0000"/>
  </w:style>
  <w:style w:type="character" w:customStyle="1" w:styleId="Heading1Char">
    <w:name w:val="Heading 1 Char"/>
    <w:basedOn w:val="DefaultParagraphFont"/>
    <w:link w:val="Heading1"/>
    <w:rsid w:val="00B800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00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00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00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0000"/>
    <w:rPr>
      <w:b/>
      <w:spacing w:val="0"/>
    </w:rPr>
  </w:style>
  <w:style w:type="character" w:styleId="Emphasis">
    <w:name w:val="Emphasis"/>
    <w:basedOn w:val="DefaultParagraphFont"/>
    <w:qFormat/>
    <w:rsid w:val="00B80000"/>
    <w:rPr>
      <w:i/>
    </w:rPr>
  </w:style>
  <w:style w:type="paragraph" w:customStyle="1" w:styleId="SuperHeading">
    <w:name w:val="SuperHeading"/>
    <w:basedOn w:val="Normal"/>
    <w:rsid w:val="00B800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00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00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00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00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00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00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00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00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00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00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00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00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00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00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00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00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00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00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00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00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00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00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00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00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00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00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00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00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00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00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00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00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00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00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00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0000"/>
  </w:style>
  <w:style w:type="paragraph" w:styleId="TableofFigures">
    <w:name w:val="table of figures"/>
    <w:basedOn w:val="Normal"/>
    <w:next w:val="Normal"/>
    <w:semiHidden/>
    <w:rsid w:val="00B800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00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0000"/>
    <w:rPr>
      <w:rFonts w:ascii="Wingdings" w:hAnsi="Wingdings"/>
    </w:rPr>
  </w:style>
  <w:style w:type="paragraph" w:customStyle="1" w:styleId="TableHeading">
    <w:name w:val="Table Heading"/>
    <w:basedOn w:val="HeadingBase"/>
    <w:rsid w:val="00B800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0000"/>
    <w:rPr>
      <w:color w:val="0033CC"/>
      <w:u w:val="none"/>
    </w:rPr>
  </w:style>
  <w:style w:type="paragraph" w:customStyle="1" w:styleId="BodyTextRight">
    <w:name w:val="Body Text Right"/>
    <w:basedOn w:val="BodyText"/>
    <w:rsid w:val="00B800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00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00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00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00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00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0000"/>
    <w:rPr>
      <w:sz w:val="32"/>
    </w:rPr>
  </w:style>
  <w:style w:type="paragraph" w:customStyle="1" w:styleId="HeadingProcedure">
    <w:name w:val="Heading Procedure"/>
    <w:basedOn w:val="HeadingBase"/>
    <w:next w:val="Normal"/>
    <w:rsid w:val="00B800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0000"/>
    <w:pPr>
      <w:spacing w:before="60" w:after="60"/>
    </w:pPr>
  </w:style>
  <w:style w:type="paragraph" w:styleId="ListContinue">
    <w:name w:val="List Continue"/>
    <w:basedOn w:val="List"/>
    <w:rsid w:val="00B80000"/>
    <w:pPr>
      <w:ind w:firstLine="0"/>
    </w:pPr>
  </w:style>
  <w:style w:type="paragraph" w:customStyle="1" w:styleId="ListNote">
    <w:name w:val="List Note"/>
    <w:basedOn w:val="List"/>
    <w:rsid w:val="00B800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00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00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0000"/>
    <w:rPr>
      <w:rFonts w:ascii="Courier New" w:hAnsi="Courier New"/>
    </w:rPr>
  </w:style>
  <w:style w:type="paragraph" w:customStyle="1" w:styleId="NoteBullet">
    <w:name w:val="Note Bullet"/>
    <w:basedOn w:val="Note"/>
    <w:rsid w:val="00B800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00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00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00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00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00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00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0000"/>
    <w:rPr>
      <w:b/>
      <w:smallCaps/>
    </w:rPr>
  </w:style>
  <w:style w:type="paragraph" w:customStyle="1" w:styleId="TableListNumber">
    <w:name w:val="Table List Number"/>
    <w:basedOn w:val="ListNumber"/>
    <w:rsid w:val="00B800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00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0000"/>
    <w:pPr>
      <w:numPr>
        <w:numId w:val="8"/>
      </w:numPr>
    </w:pPr>
  </w:style>
  <w:style w:type="paragraph" w:customStyle="1" w:styleId="ListAlpha2">
    <w:name w:val="List Alpha 2"/>
    <w:basedOn w:val="List2"/>
    <w:rsid w:val="00B80000"/>
    <w:pPr>
      <w:numPr>
        <w:numId w:val="7"/>
      </w:numPr>
    </w:pPr>
  </w:style>
  <w:style w:type="paragraph" w:styleId="List2">
    <w:name w:val="List 2"/>
    <w:basedOn w:val="BodyText"/>
    <w:rsid w:val="00B800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00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00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00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00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00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0000"/>
    <w:pPr>
      <w:numPr>
        <w:numId w:val="3"/>
      </w:numPr>
    </w:pPr>
  </w:style>
  <w:style w:type="paragraph" w:styleId="ListContinue2">
    <w:name w:val="List Continue 2"/>
    <w:basedOn w:val="List2"/>
    <w:rsid w:val="00B80000"/>
    <w:pPr>
      <w:ind w:firstLine="0"/>
    </w:pPr>
  </w:style>
  <w:style w:type="paragraph" w:styleId="ListContinue3">
    <w:name w:val="List Continue 3"/>
    <w:basedOn w:val="List3"/>
    <w:rsid w:val="00B80000"/>
    <w:pPr>
      <w:ind w:left="1021" w:firstLine="0"/>
    </w:pPr>
  </w:style>
  <w:style w:type="paragraph" w:styleId="ListContinue4">
    <w:name w:val="List Continue 4"/>
    <w:basedOn w:val="List4"/>
    <w:rsid w:val="00B80000"/>
    <w:pPr>
      <w:ind w:firstLine="0"/>
    </w:pPr>
  </w:style>
  <w:style w:type="paragraph" w:styleId="ListContinue5">
    <w:name w:val="List Continue 5"/>
    <w:basedOn w:val="List5"/>
    <w:rsid w:val="00B80000"/>
    <w:pPr>
      <w:ind w:firstLine="0"/>
    </w:pPr>
  </w:style>
  <w:style w:type="paragraph" w:styleId="ListNumber3">
    <w:name w:val="List Number 3"/>
    <w:basedOn w:val="List3"/>
    <w:rsid w:val="00B80000"/>
    <w:pPr>
      <w:numPr>
        <w:numId w:val="4"/>
      </w:numPr>
    </w:pPr>
  </w:style>
  <w:style w:type="paragraph" w:styleId="ListNumber4">
    <w:name w:val="List Number 4"/>
    <w:basedOn w:val="List4"/>
    <w:rsid w:val="00B80000"/>
    <w:pPr>
      <w:numPr>
        <w:numId w:val="5"/>
      </w:numPr>
    </w:pPr>
  </w:style>
  <w:style w:type="paragraph" w:styleId="ListNumber5">
    <w:name w:val="List Number 5"/>
    <w:basedOn w:val="List5"/>
    <w:rsid w:val="00B80000"/>
    <w:pPr>
      <w:numPr>
        <w:numId w:val="6"/>
      </w:numPr>
    </w:pPr>
  </w:style>
  <w:style w:type="paragraph" w:styleId="BlockText">
    <w:name w:val="Block Text"/>
    <w:basedOn w:val="Normal"/>
    <w:rsid w:val="00B800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00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0000"/>
    <w:rPr>
      <w:sz w:val="16"/>
      <w:vertAlign w:val="superscript"/>
    </w:rPr>
  </w:style>
  <w:style w:type="character" w:customStyle="1" w:styleId="Symbols">
    <w:name w:val="Symbols"/>
    <w:basedOn w:val="DefaultParagraphFont"/>
    <w:rsid w:val="00B80000"/>
    <w:rPr>
      <w:rFonts w:ascii="Symbol" w:hAnsi="Symbol"/>
    </w:rPr>
  </w:style>
  <w:style w:type="character" w:customStyle="1" w:styleId="MenuOptions">
    <w:name w:val="Menu Options"/>
    <w:basedOn w:val="DefaultParagraphFont"/>
    <w:rsid w:val="00B800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0000"/>
    <w:rPr>
      <w:b/>
    </w:rPr>
  </w:style>
  <w:style w:type="character" w:customStyle="1" w:styleId="Underlined">
    <w:name w:val="Underlined"/>
    <w:basedOn w:val="DefaultParagraphFont"/>
    <w:rsid w:val="00B80000"/>
    <w:rPr>
      <w:u w:val="single"/>
    </w:rPr>
  </w:style>
  <w:style w:type="paragraph" w:customStyle="1" w:styleId="TableBodyTextRight">
    <w:name w:val="Table Body Text Right"/>
    <w:basedOn w:val="TableBodyText"/>
    <w:rsid w:val="00B800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0000"/>
    <w:rPr>
      <w:sz w:val="18"/>
    </w:rPr>
  </w:style>
  <w:style w:type="paragraph" w:customStyle="1" w:styleId="BodySmallRight">
    <w:name w:val="Body Small Right"/>
    <w:basedOn w:val="BodyTextRight"/>
    <w:rsid w:val="00B80000"/>
    <w:rPr>
      <w:sz w:val="18"/>
      <w:szCs w:val="18"/>
    </w:rPr>
  </w:style>
  <w:style w:type="paragraph" w:customStyle="1" w:styleId="MarginEdition">
    <w:name w:val="Margin Edition"/>
    <w:basedOn w:val="MarginNote"/>
    <w:rsid w:val="00B800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0000"/>
    <w:rPr>
      <w:sz w:val="2"/>
      <w:szCs w:val="2"/>
    </w:rPr>
  </w:style>
  <w:style w:type="character" w:customStyle="1" w:styleId="Small">
    <w:name w:val="Small"/>
    <w:basedOn w:val="DefaultParagraphFont"/>
    <w:rsid w:val="00B80000"/>
    <w:rPr>
      <w:sz w:val="16"/>
    </w:rPr>
  </w:style>
  <w:style w:type="paragraph" w:customStyle="1" w:styleId="WideTable">
    <w:name w:val="Wide Table"/>
    <w:basedOn w:val="Normal"/>
    <w:rsid w:val="00B800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0000"/>
  </w:style>
  <w:style w:type="paragraph" w:styleId="Quote">
    <w:name w:val="Quote"/>
    <w:basedOn w:val="Heading1"/>
    <w:link w:val="QuoteChar"/>
    <w:qFormat/>
    <w:rsid w:val="00B800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00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0000"/>
    <w:pPr>
      <w:pageBreakBefore/>
    </w:pPr>
  </w:style>
  <w:style w:type="paragraph" w:customStyle="1" w:styleId="Border">
    <w:name w:val="Border"/>
    <w:basedOn w:val="Normal"/>
    <w:qFormat/>
    <w:rsid w:val="00B800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00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0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00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00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00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00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00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0000"/>
    <w:rPr>
      <w:u w:val="single"/>
    </w:rPr>
  </w:style>
  <w:style w:type="character" w:customStyle="1" w:styleId="BoldandItalics">
    <w:name w:val="Bold and Italics"/>
    <w:qFormat/>
    <w:rsid w:val="00B80000"/>
    <w:rPr>
      <w:b/>
      <w:i/>
      <w:u w:val="none"/>
    </w:rPr>
  </w:style>
  <w:style w:type="paragraph" w:styleId="BalloonText">
    <w:name w:val="Balloon Text"/>
    <w:basedOn w:val="Normal"/>
    <w:link w:val="BalloonTextChar"/>
    <w:rsid w:val="00B80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00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00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00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00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00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0000"/>
    <w:pPr>
      <w:spacing w:before="0" w:after="0"/>
    </w:pPr>
  </w:style>
  <w:style w:type="paragraph" w:customStyle="1" w:styleId="BodyTextBold">
    <w:name w:val="Body Text Bold"/>
    <w:basedOn w:val="BodyText"/>
    <w:qFormat/>
    <w:rsid w:val="00B80000"/>
    <w:rPr>
      <w:b/>
    </w:rPr>
  </w:style>
  <w:style w:type="character" w:styleId="Hyperlink">
    <w:name w:val="Hyperlink"/>
    <w:basedOn w:val="DefaultParagraphFont"/>
    <w:uiPriority w:val="99"/>
    <w:unhideWhenUsed/>
    <w:rsid w:val="004C37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3908</Characters>
  <Application>Microsoft Office Word</Application>
  <DocSecurity>0</DocSecurity>
  <Lines>126</Lines>
  <Paragraphs>74</Paragraphs>
  <ScaleCrop>false</ScaleCrop>
  <Company>Author-it Software Corporation Ltd.</Company>
  <LinksUpToDate>false</LinksUpToDate>
  <CharactersWithSpaces>4402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MEM23114 Evaluate thermodynamic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