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11D" w:rsidP="008E4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MEM23114 Evaluate thermodynamic systems and components</w:t>
      </w:r>
      <w:r>
        <w:fldChar w:fldCharType="end"/>
      </w:r>
    </w:p>
    <w:p w:rsidR="008E411D" w:rsidP="008E411D">
      <w:pPr>
        <w:pStyle w:val="Version"/>
        <w:sectPr w:rsidSect="00775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05D" w:rsidP="0077505D">
      <w:pPr>
        <w:pStyle w:val="SuperHeading"/>
      </w:pPr>
      <w:r w:rsidRPr="0077505D">
        <w:t>Assessment Requirements for MEM23114 Evaluate thermodynamic systems and components</w:t>
      </w:r>
    </w:p>
    <w:p w:rsidR="00000000" w:rsidRPr="0077505D" w:rsidP="0077505D">
      <w:pPr>
        <w:pStyle w:val="Heading1"/>
      </w:pPr>
      <w:bookmarkStart w:id="1" w:name="O_944014"/>
      <w:bookmarkEnd w:id="1"/>
      <w:r w:rsidRPr="0077505D">
        <w:t>Modification History</w:t>
      </w:r>
    </w:p>
    <w:p w:rsidR="008E411D" w:rsidP="008E411D">
      <w:pPr>
        <w:pStyle w:val="BodyText"/>
      </w:pPr>
      <w:r w:rsidRPr="0077505D">
        <w:t>Release 1. Supersedes and is equivalent to MEM23114A Evaluate thermodynamic systems and components</w:t>
      </w:r>
    </w:p>
    <w:p w:rsidR="00000000" w:rsidRPr="0077505D" w:rsidP="0077505D">
      <w:pPr>
        <w:pStyle w:val="Heading1"/>
      </w:pPr>
      <w:bookmarkStart w:id="2" w:name="O_944017"/>
      <w:bookmarkEnd w:id="2"/>
      <w:r w:rsidRPr="0077505D">
        <w:t>Performance Evidence</w:t>
      </w:r>
    </w:p>
    <w:p w:rsidR="00000000" w:rsidRPr="0077505D" w:rsidP="008E411D">
      <w:pPr>
        <w:pStyle w:val="BodyText"/>
      </w:pPr>
      <w:r w:rsidRPr="0077505D">
        <w:t>Evidence required to demonstrate competence in this unit must be relevant to and satisfy the requirements of the elements and performance criteria and include:</w:t>
      </w:r>
    </w:p>
    <w:p w:rsidR="00000000" w:rsidRPr="0077505D" w:rsidP="0077505D">
      <w:pPr>
        <w:pStyle w:val="ListBullet"/>
      </w:pPr>
      <w:r w:rsidRPr="0077505D">
        <w:t>determining parameters and context of evaluation task</w:t>
      </w:r>
    </w:p>
    <w:p w:rsidR="00000000" w:rsidRPr="0077505D" w:rsidP="0077505D">
      <w:pPr>
        <w:pStyle w:val="ListBullet"/>
      </w:pPr>
      <w:r w:rsidRPr="0077505D">
        <w:t>determining work hea</w:t>
      </w:r>
      <w:r w:rsidRPr="0077505D">
        <w:t>lth and safety (WHS), regulatory requirements, risk management and organisational procedures</w:t>
      </w:r>
    </w:p>
    <w:p w:rsidR="00000000" w:rsidRPr="0077505D" w:rsidP="0077505D">
      <w:pPr>
        <w:pStyle w:val="ListBullet"/>
      </w:pPr>
      <w:r w:rsidRPr="0077505D">
        <w:t>identifying features, functions and components of thermodynamic dynamic systems and components</w:t>
      </w:r>
    </w:p>
    <w:p w:rsidR="00000000" w:rsidRPr="0077505D" w:rsidP="0077505D">
      <w:pPr>
        <w:pStyle w:val="ListBullet"/>
      </w:pPr>
      <w:r w:rsidRPr="0077505D">
        <w:t>investigating and reviewing sustainability implications, features an</w:t>
      </w:r>
      <w:r w:rsidRPr="0077505D">
        <w:t>d functions of thermodynamic systems and components on at least two occasions</w:t>
      </w:r>
    </w:p>
    <w:p w:rsidR="00000000" w:rsidRPr="0077505D" w:rsidP="0077505D">
      <w:pPr>
        <w:pStyle w:val="ListBullet"/>
      </w:pPr>
      <w:r w:rsidRPr="0077505D">
        <w:t>evaluating components and systems to determine safety, efficiency and fitness for purpose</w:t>
      </w:r>
    </w:p>
    <w:p w:rsidR="00000000" w:rsidRPr="0077505D" w:rsidP="0077505D">
      <w:pPr>
        <w:pStyle w:val="ListBullet"/>
      </w:pPr>
      <w:r w:rsidRPr="0077505D">
        <w:t>evaluating combustion, steam, air compression and refrigeration and air conditioning pro</w:t>
      </w:r>
      <w:r w:rsidRPr="0077505D">
        <w:t>cesses</w:t>
      </w:r>
    </w:p>
    <w:p w:rsidR="00000000" w:rsidRPr="0077505D" w:rsidP="0077505D">
      <w:pPr>
        <w:pStyle w:val="ListBullet"/>
      </w:pPr>
      <w:r w:rsidRPr="0077505D">
        <w:t>determining system performance and heat transfer on at least two occasions</w:t>
      </w:r>
    </w:p>
    <w:p w:rsidR="00000000" w:rsidRPr="0077505D" w:rsidP="0077505D">
      <w:pPr>
        <w:pStyle w:val="ListBullet"/>
      </w:pPr>
      <w:r w:rsidRPr="0077505D">
        <w:t>reporting and documenting processes and results of evaluation including calculations, component and system layouts, functional diagrams and thermodynamic cycle diagrams.</w:t>
      </w:r>
    </w:p>
    <w:p w:rsidR="008E411D" w:rsidRPr="008E411D" w:rsidP="008E411D">
      <w:pPr>
        <w:pStyle w:val="BodyText"/>
        <w:rPr>
          <w:i/>
        </w:rPr>
      </w:pPr>
      <w:r w:rsidRPr="008E411D">
        <w:rPr>
          <w:rStyle w:val="Emphasis"/>
        </w:rPr>
        <w:t>Note</w:t>
      </w:r>
      <w:r w:rsidRPr="008E411D">
        <w:rPr>
          <w:rStyle w:val="Emphasis"/>
        </w:rPr>
        <w:t>: Where a volume and/or frequency is not specified, demonstration must be provided at least once.</w:t>
      </w:r>
    </w:p>
    <w:p w:rsidR="00000000" w:rsidRPr="0077505D" w:rsidP="0077505D">
      <w:pPr>
        <w:pStyle w:val="Heading1"/>
      </w:pPr>
      <w:bookmarkStart w:id="3" w:name="O_944016"/>
      <w:bookmarkEnd w:id="3"/>
      <w:r w:rsidRPr="0077505D">
        <w:t>Knowledge Evidence</w:t>
      </w:r>
    </w:p>
    <w:p w:rsidR="00000000" w:rsidRPr="0077505D" w:rsidP="008E411D">
      <w:pPr>
        <w:pStyle w:val="BodyText"/>
      </w:pPr>
      <w:r w:rsidRPr="0077505D">
        <w:t>Evidence required to demonstrate competence in this unit must be relevant to and satisfy the requirements of the elements</w:t>
      </w:r>
      <w:r w:rsidRPr="0077505D">
        <w:t xml:space="preserve"> and performance criteria on at least two occasions and include:</w:t>
      </w:r>
    </w:p>
    <w:p w:rsidR="00000000" w:rsidRPr="0077505D" w:rsidP="0077505D">
      <w:pPr>
        <w:pStyle w:val="ListBullet"/>
      </w:pPr>
      <w:r w:rsidRPr="0077505D">
        <w:t>WHS and regulatory requirements, codes of practice, standards and risk management requirements</w:t>
      </w:r>
    </w:p>
    <w:p w:rsidR="00000000" w:rsidRPr="0077505D" w:rsidP="0077505D">
      <w:pPr>
        <w:pStyle w:val="ListBullet"/>
      </w:pPr>
      <w:r w:rsidRPr="0077505D">
        <w:t>thermodynamic systems and components</w:t>
      </w:r>
    </w:p>
    <w:p w:rsidR="00000000" w:rsidRPr="0077505D" w:rsidP="0077505D">
      <w:pPr>
        <w:pStyle w:val="ListBullet"/>
      </w:pPr>
      <w:r w:rsidRPr="0077505D">
        <w:t>availability of professional and technical assistance</w:t>
      </w:r>
    </w:p>
    <w:p w:rsidR="00000000" w:rsidRPr="0077505D" w:rsidP="0077505D">
      <w:pPr>
        <w:pStyle w:val="ListBullet"/>
      </w:pPr>
      <w:r w:rsidRPr="0077505D">
        <w:t>current options and trends in performance analysis software including underpinning program techniques and software validation techniques</w:t>
      </w:r>
    </w:p>
    <w:p w:rsidR="00000000" w:rsidRPr="0077505D" w:rsidP="0077505D">
      <w:pPr>
        <w:pStyle w:val="ListBullet"/>
      </w:pPr>
      <w:r w:rsidRPr="0077505D">
        <w:t>descriptions of thermodynamic devices and systems including boilers, turbines, refrigerators, gas-turbines and rockets</w:t>
      </w:r>
    </w:p>
    <w:p w:rsidR="00000000" w:rsidRPr="0077505D" w:rsidP="0077505D">
      <w:pPr>
        <w:pStyle w:val="ListBullet"/>
      </w:pPr>
      <w:r w:rsidRPr="0077505D">
        <w:t>concepts related to thermodynamics including:</w:t>
      </w:r>
    </w:p>
    <w:p w:rsidR="00000000" w:rsidRPr="0077505D" w:rsidP="0077505D">
      <w:pPr>
        <w:pStyle w:val="ListBullet2"/>
      </w:pPr>
      <w:r w:rsidRPr="0077505D">
        <w:t>properties, process and state</w:t>
      </w:r>
    </w:p>
    <w:p w:rsidR="00000000" w:rsidRPr="0077505D" w:rsidP="0077505D">
      <w:pPr>
        <w:pStyle w:val="ListBullet2"/>
      </w:pPr>
      <w:r w:rsidRPr="0077505D">
        <w:t>mass, conservation of mass, specific volume and density, force, weight, pressure and temperature</w:t>
      </w:r>
    </w:p>
    <w:p w:rsidR="00000000" w:rsidRPr="0077505D" w:rsidP="0077505D">
      <w:pPr>
        <w:pStyle w:val="ListBullet2"/>
      </w:pPr>
      <w:r w:rsidRPr="0077505D">
        <w:t>systems, cycles and steady state</w:t>
      </w:r>
    </w:p>
    <w:p w:rsidR="00000000" w:rsidRPr="0077505D" w:rsidP="0077505D">
      <w:pPr>
        <w:pStyle w:val="ListBullet"/>
      </w:pPr>
      <w:r w:rsidRPr="0077505D">
        <w:t>energy forms</w:t>
      </w:r>
    </w:p>
    <w:p w:rsidR="00000000" w:rsidRPr="0077505D" w:rsidP="0077505D">
      <w:pPr>
        <w:pStyle w:val="ListBullet"/>
      </w:pPr>
      <w:r w:rsidRPr="0077505D">
        <w:t>effects of heating of solids and li</w:t>
      </w:r>
      <w:r w:rsidRPr="0077505D">
        <w:t>quids</w:t>
      </w:r>
    </w:p>
    <w:p w:rsidR="00000000" w:rsidRPr="0077505D" w:rsidP="0077505D">
      <w:pPr>
        <w:pStyle w:val="ListBullet"/>
      </w:pPr>
      <w:r w:rsidRPr="0077505D">
        <w:t>heat transfer, conduction, convection and radiation including related laws and calculations</w:t>
      </w:r>
    </w:p>
    <w:p w:rsidR="00000000" w:rsidRPr="0077505D" w:rsidP="0077505D">
      <w:pPr>
        <w:pStyle w:val="ListBullet"/>
      </w:pPr>
      <w:r w:rsidRPr="0077505D">
        <w:t>typical thermodynamic devices and engines, and thermal cycles</w:t>
      </w:r>
    </w:p>
    <w:p w:rsidR="00000000" w:rsidRPr="0077505D" w:rsidP="0077505D">
      <w:pPr>
        <w:pStyle w:val="ListBullet"/>
      </w:pPr>
      <w:r w:rsidRPr="0077505D">
        <w:t>closed and open systems including:</w:t>
      </w:r>
    </w:p>
    <w:p w:rsidR="00000000" w:rsidRPr="0077505D" w:rsidP="0077505D">
      <w:pPr>
        <w:pStyle w:val="ListBullet2"/>
      </w:pPr>
      <w:r w:rsidRPr="0077505D">
        <w:t>non-flow, internal energy</w:t>
      </w:r>
    </w:p>
    <w:p w:rsidR="00000000" w:rsidRPr="0077505D" w:rsidP="0077505D">
      <w:pPr>
        <w:pStyle w:val="ListBullet2"/>
      </w:pPr>
      <w:r w:rsidRPr="0077505D">
        <w:t xml:space="preserve">flow systems, mass and volumetric </w:t>
      </w:r>
      <w:r w:rsidRPr="0077505D">
        <w:t>flow and continuity of flow</w:t>
      </w:r>
    </w:p>
    <w:p w:rsidR="00000000" w:rsidRPr="0077505D" w:rsidP="0077505D">
      <w:pPr>
        <w:pStyle w:val="ListBullet"/>
      </w:pPr>
      <w:r w:rsidRPr="0077505D">
        <w:t>steady flow and enthalpy, turbines, compressors, boilers and heat exchanger applications</w:t>
      </w:r>
    </w:p>
    <w:p w:rsidR="00000000" w:rsidRPr="0077505D" w:rsidP="0077505D">
      <w:pPr>
        <w:pStyle w:val="ListBullet"/>
      </w:pPr>
      <w:r w:rsidRPr="0077505D">
        <w:t>zeroth and first laws in detail and second law (conceptual)</w:t>
      </w:r>
    </w:p>
    <w:p w:rsidR="00000000" w:rsidRPr="0077505D" w:rsidP="0077505D">
      <w:pPr>
        <w:pStyle w:val="ListBullet"/>
      </w:pPr>
      <w:r w:rsidRPr="0077505D">
        <w:t>gas laws and characteristics</w:t>
      </w:r>
    </w:p>
    <w:p w:rsidR="00000000" w:rsidRPr="0077505D" w:rsidP="0077505D">
      <w:pPr>
        <w:pStyle w:val="ListBullet"/>
      </w:pPr>
      <w:r w:rsidRPr="0077505D">
        <w:t>gas compression effects, measurements and calculations</w:t>
      </w:r>
    </w:p>
    <w:p w:rsidR="00000000" w:rsidRPr="0077505D" w:rsidP="0077505D">
      <w:pPr>
        <w:pStyle w:val="ListBullet"/>
      </w:pPr>
      <w:r w:rsidRPr="0077505D">
        <w:t>compressor types and characteristics of heat engines, including types, cycles, performance and efficiency fuels and combustion steam plant and processes for steam generation, heat transfer and power pr</w:t>
      </w:r>
      <w:r w:rsidRPr="0077505D">
        <w:t>oduction, including steam saturation steam tables</w:t>
      </w:r>
    </w:p>
    <w:p w:rsidR="008E411D" w:rsidP="0077505D">
      <w:pPr>
        <w:pStyle w:val="ListBullet"/>
      </w:pPr>
      <w:r w:rsidRPr="0077505D">
        <w:t>air conditioning, refrigeration and heat pumping plant and processes</w:t>
      </w:r>
    </w:p>
    <w:p w:rsidR="008E411D" w:rsidP="0077505D">
      <w:pPr>
        <w:pStyle w:val="ListBullet"/>
      </w:pPr>
    </w:p>
    <w:p w:rsidR="00000000" w:rsidRPr="0077505D" w:rsidP="0077505D">
      <w:pPr>
        <w:pStyle w:val="Heading1"/>
      </w:pPr>
      <w:bookmarkStart w:id="4" w:name="O_944015"/>
      <w:bookmarkEnd w:id="4"/>
      <w:r w:rsidRPr="0077505D">
        <w:t>Assessment Conditions</w:t>
      </w:r>
    </w:p>
    <w:p w:rsidR="00000000" w:rsidRPr="0077505D" w:rsidP="0077505D">
      <w:pPr>
        <w:pStyle w:val="ListBullet"/>
      </w:pPr>
      <w:r w:rsidRPr="0077505D">
        <w:t>Assessors must:</w:t>
      </w:r>
    </w:p>
    <w:p w:rsidR="00000000" w:rsidRPr="0077505D" w:rsidP="0077505D">
      <w:pPr>
        <w:pStyle w:val="ListBullet2"/>
      </w:pPr>
      <w:r w:rsidRPr="0077505D">
        <w:t>have vocational competency in evaluating thermodynamic systems and components a</w:t>
      </w:r>
      <w:r w:rsidRPr="0077505D">
        <w:t>t least to the level being assessed with relevant industry knowledge and experience</w:t>
      </w:r>
    </w:p>
    <w:p w:rsidR="00000000" w:rsidRPr="0077505D" w:rsidP="0077505D">
      <w:pPr>
        <w:pStyle w:val="ListBullet2"/>
      </w:pPr>
      <w:r w:rsidRPr="0077505D">
        <w:t xml:space="preserve">satisfy the assessor requirements in the </w:t>
      </w:r>
      <w:r w:rsidRPr="0077505D">
        <w:rPr>
          <w:rStyle w:val="Emphasis"/>
        </w:rPr>
        <w:t xml:space="preserve">Standards for Registered Training Organisations 2015 or its replacement </w:t>
      </w:r>
      <w:r w:rsidRPr="0077505D">
        <w:t xml:space="preserve">and comply with the </w:t>
      </w:r>
      <w:r w:rsidRPr="0077505D">
        <w:rPr>
          <w:rStyle w:val="Emphasis"/>
        </w:rPr>
        <w:t>National Vocational Education and Train</w:t>
      </w:r>
      <w:r w:rsidRPr="0077505D">
        <w:rPr>
          <w:rStyle w:val="Emphasis"/>
        </w:rPr>
        <w:t xml:space="preserve">ing Regulator Act 2011, </w:t>
      </w:r>
      <w:r w:rsidRPr="0077505D">
        <w:t>its replacement</w:t>
      </w:r>
      <w:r w:rsidRPr="0077505D">
        <w:rPr>
          <w:rStyle w:val="Emphasis"/>
        </w:rPr>
        <w:t xml:space="preserve"> </w:t>
      </w:r>
      <w:r w:rsidRPr="0077505D">
        <w:t>or equivalent legislation covering VET regulation in a non-referring state/territory as the case requires.</w:t>
      </w:r>
    </w:p>
    <w:p w:rsidR="00000000" w:rsidRPr="0077505D" w:rsidP="0077505D">
      <w:pPr>
        <w:pStyle w:val="ListBullet"/>
      </w:pPr>
      <w:r w:rsidRPr="0077505D">
        <w:t>Where possible assessment must occur in operational workplace situations. Where this is not possible or wher</w:t>
      </w:r>
      <w:r w:rsidRPr="0077505D">
        <w:t>e personal safety or environmental damage are limiting factors, assessment must occur in a sufficiently rigorous simulated environment that reflects realistic operational workplace conditions that cover all aspects of workplace performance, including envir</w:t>
      </w:r>
      <w:r w:rsidRPr="0077505D">
        <w:t>onment, task skills, task management skills, contingency management skills and job role environment skills.</w:t>
      </w:r>
    </w:p>
    <w:p w:rsidR="00000000" w:rsidRPr="0077505D" w:rsidP="0077505D">
      <w:pPr>
        <w:pStyle w:val="ListBullet"/>
      </w:pPr>
      <w:r w:rsidRPr="0077505D">
        <w:t>Conditions for assessment must include access to all tools, equipment, materials and documentation required including relevant workplace procedures,</w:t>
      </w:r>
      <w:r w:rsidRPr="0077505D">
        <w:t xml:space="preserve"> product and manufacturing specifications.</w:t>
      </w:r>
    </w:p>
    <w:p w:rsidR="008E411D" w:rsidP="0077505D">
      <w:pPr>
        <w:pStyle w:val="ListBullet"/>
      </w:pPr>
      <w:r w:rsidRPr="0077505D">
        <w:t>Assessment processes and techniques must be appropriate to the language, literacy and numeracy requirements of the work being performed and the needs of the candidate.</w:t>
      </w:r>
    </w:p>
    <w:p w:rsidR="008E411D" w:rsidP="0077505D">
      <w:pPr>
        <w:pStyle w:val="ListBullet"/>
      </w:pPr>
    </w:p>
    <w:p w:rsidR="00000000" w:rsidRPr="0077505D" w:rsidP="0077505D">
      <w:pPr>
        <w:pStyle w:val="Heading1"/>
      </w:pPr>
      <w:bookmarkStart w:id="5" w:name="O_944013"/>
      <w:bookmarkEnd w:id="5"/>
      <w:r w:rsidRPr="0077505D">
        <w:t>Links</w:t>
      </w:r>
    </w:p>
    <w:p w:rsidR="00000000" w:rsidRPr="0077505D" w:rsidP="008E411D">
      <w:pPr>
        <w:pStyle w:val="BodyText"/>
      </w:pPr>
      <w:r w:rsidRPr="007750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53E1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7505D" w:rsidP="0077505D"/>
    <w:sectPr w:rsidSect="007750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D" w:rsidRPr="008E411D" w:rsidP="008E4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1D" w:rsidP="00775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411D" w:rsidP="00775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411D" w:rsidP="00775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05D" w:rsidRPr="008E411D" w:rsidP="008E4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1D" w:rsidRPr="002D2AF8" w:rsidP="00775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MEM23114 Evaluate thermodynamic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E411D" w:rsidP="00775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EE5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063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449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05D"/>
  </w:style>
  <w:style w:type="character" w:customStyle="1" w:styleId="Heading1Char">
    <w:name w:val="Heading 1 Char"/>
    <w:basedOn w:val="DefaultParagraphFont"/>
    <w:link w:val="Heading1"/>
    <w:rsid w:val="00775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0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0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50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505D"/>
    <w:rPr>
      <w:i/>
    </w:rPr>
  </w:style>
  <w:style w:type="paragraph" w:customStyle="1" w:styleId="SuperHeading">
    <w:name w:val="SuperHeading"/>
    <w:basedOn w:val="Normal"/>
    <w:rsid w:val="00775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5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0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505D"/>
    <w:rPr>
      <w:b/>
      <w:spacing w:val="0"/>
    </w:rPr>
  </w:style>
  <w:style w:type="paragraph" w:customStyle="1" w:styleId="SuperTitle">
    <w:name w:val="SuperTitle"/>
    <w:basedOn w:val="Title"/>
    <w:rsid w:val="00775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0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5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05D"/>
  </w:style>
  <w:style w:type="paragraph" w:styleId="TableofFigures">
    <w:name w:val="table of figures"/>
    <w:basedOn w:val="Normal"/>
    <w:next w:val="Normal"/>
    <w:semiHidden/>
    <w:rsid w:val="00775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0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505D"/>
    <w:rPr>
      <w:rFonts w:ascii="Wingdings" w:hAnsi="Wingdings"/>
    </w:rPr>
  </w:style>
  <w:style w:type="paragraph" w:customStyle="1" w:styleId="TableHeading">
    <w:name w:val="Table Heading"/>
    <w:basedOn w:val="HeadingBase"/>
    <w:rsid w:val="00775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05D"/>
    <w:rPr>
      <w:color w:val="0033CC"/>
      <w:u w:val="none"/>
    </w:rPr>
  </w:style>
  <w:style w:type="paragraph" w:customStyle="1" w:styleId="BodyTextRight">
    <w:name w:val="Body Text Right"/>
    <w:basedOn w:val="BodyText"/>
    <w:rsid w:val="00775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0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05D"/>
    <w:rPr>
      <w:sz w:val="32"/>
    </w:rPr>
  </w:style>
  <w:style w:type="paragraph" w:customStyle="1" w:styleId="HeadingProcedure">
    <w:name w:val="Heading Procedure"/>
    <w:basedOn w:val="HeadingBase"/>
    <w:next w:val="Normal"/>
    <w:rsid w:val="00775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05D"/>
    <w:pPr>
      <w:spacing w:before="60" w:after="60"/>
    </w:pPr>
  </w:style>
  <w:style w:type="paragraph" w:styleId="ListContinue">
    <w:name w:val="List Continue"/>
    <w:basedOn w:val="List"/>
    <w:rsid w:val="0077505D"/>
    <w:pPr>
      <w:ind w:firstLine="0"/>
    </w:pPr>
  </w:style>
  <w:style w:type="paragraph" w:customStyle="1" w:styleId="ListNote">
    <w:name w:val="List Note"/>
    <w:basedOn w:val="List"/>
    <w:rsid w:val="00775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05D"/>
    <w:rPr>
      <w:rFonts w:ascii="Courier New" w:hAnsi="Courier New"/>
    </w:rPr>
  </w:style>
  <w:style w:type="paragraph" w:customStyle="1" w:styleId="NoteBullet">
    <w:name w:val="Note Bullet"/>
    <w:basedOn w:val="Note"/>
    <w:rsid w:val="00775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0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5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05D"/>
    <w:rPr>
      <w:b/>
      <w:smallCaps/>
    </w:rPr>
  </w:style>
  <w:style w:type="paragraph" w:customStyle="1" w:styleId="TableListNumber">
    <w:name w:val="Table List Number"/>
    <w:basedOn w:val="ListNumber"/>
    <w:rsid w:val="00775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05D"/>
    <w:pPr>
      <w:numPr>
        <w:numId w:val="9"/>
      </w:numPr>
    </w:pPr>
  </w:style>
  <w:style w:type="paragraph" w:customStyle="1" w:styleId="ListAlpha2">
    <w:name w:val="List Alpha 2"/>
    <w:basedOn w:val="List2"/>
    <w:rsid w:val="0077505D"/>
    <w:pPr>
      <w:numPr>
        <w:numId w:val="8"/>
      </w:numPr>
    </w:pPr>
  </w:style>
  <w:style w:type="paragraph" w:styleId="List2">
    <w:name w:val="List 2"/>
    <w:basedOn w:val="BodyText"/>
    <w:rsid w:val="00775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0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0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505D"/>
    <w:pPr>
      <w:numPr>
        <w:numId w:val="4"/>
      </w:numPr>
    </w:pPr>
  </w:style>
  <w:style w:type="paragraph" w:styleId="ListContinue2">
    <w:name w:val="List Continue 2"/>
    <w:basedOn w:val="List2"/>
    <w:rsid w:val="0077505D"/>
    <w:pPr>
      <w:ind w:firstLine="0"/>
    </w:pPr>
  </w:style>
  <w:style w:type="paragraph" w:styleId="ListContinue3">
    <w:name w:val="List Continue 3"/>
    <w:basedOn w:val="List3"/>
    <w:rsid w:val="0077505D"/>
    <w:pPr>
      <w:ind w:left="1021" w:firstLine="0"/>
    </w:pPr>
  </w:style>
  <w:style w:type="paragraph" w:styleId="ListContinue4">
    <w:name w:val="List Continue 4"/>
    <w:basedOn w:val="List4"/>
    <w:rsid w:val="0077505D"/>
    <w:pPr>
      <w:ind w:firstLine="0"/>
    </w:pPr>
  </w:style>
  <w:style w:type="paragraph" w:styleId="ListContinue5">
    <w:name w:val="List Continue 5"/>
    <w:basedOn w:val="List5"/>
    <w:rsid w:val="0077505D"/>
    <w:pPr>
      <w:ind w:firstLine="0"/>
    </w:pPr>
  </w:style>
  <w:style w:type="paragraph" w:styleId="ListNumber3">
    <w:name w:val="List Number 3"/>
    <w:basedOn w:val="List3"/>
    <w:rsid w:val="0077505D"/>
    <w:pPr>
      <w:numPr>
        <w:numId w:val="5"/>
      </w:numPr>
    </w:pPr>
  </w:style>
  <w:style w:type="paragraph" w:styleId="ListNumber4">
    <w:name w:val="List Number 4"/>
    <w:basedOn w:val="List4"/>
    <w:rsid w:val="0077505D"/>
    <w:pPr>
      <w:numPr>
        <w:numId w:val="6"/>
      </w:numPr>
    </w:pPr>
  </w:style>
  <w:style w:type="paragraph" w:styleId="ListNumber5">
    <w:name w:val="List Number 5"/>
    <w:basedOn w:val="List5"/>
    <w:rsid w:val="0077505D"/>
    <w:pPr>
      <w:numPr>
        <w:numId w:val="7"/>
      </w:numPr>
    </w:pPr>
  </w:style>
  <w:style w:type="paragraph" w:styleId="BlockText">
    <w:name w:val="Block Text"/>
    <w:basedOn w:val="Normal"/>
    <w:rsid w:val="00775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05D"/>
    <w:rPr>
      <w:sz w:val="16"/>
      <w:vertAlign w:val="superscript"/>
    </w:rPr>
  </w:style>
  <w:style w:type="character" w:customStyle="1" w:styleId="Symbols">
    <w:name w:val="Symbols"/>
    <w:basedOn w:val="DefaultParagraphFont"/>
    <w:rsid w:val="0077505D"/>
    <w:rPr>
      <w:rFonts w:ascii="Symbol" w:hAnsi="Symbol"/>
    </w:rPr>
  </w:style>
  <w:style w:type="character" w:customStyle="1" w:styleId="MenuOptions">
    <w:name w:val="Menu Options"/>
    <w:basedOn w:val="DefaultParagraphFont"/>
    <w:rsid w:val="00775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05D"/>
    <w:rPr>
      <w:b/>
    </w:rPr>
  </w:style>
  <w:style w:type="character" w:customStyle="1" w:styleId="Underlined">
    <w:name w:val="Underlined"/>
    <w:basedOn w:val="DefaultParagraphFont"/>
    <w:rsid w:val="0077505D"/>
    <w:rPr>
      <w:u w:val="single"/>
    </w:rPr>
  </w:style>
  <w:style w:type="paragraph" w:customStyle="1" w:styleId="TableBodyTextRight">
    <w:name w:val="Table Body Text Right"/>
    <w:basedOn w:val="TableBodyText"/>
    <w:rsid w:val="00775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05D"/>
    <w:rPr>
      <w:sz w:val="18"/>
    </w:rPr>
  </w:style>
  <w:style w:type="paragraph" w:customStyle="1" w:styleId="BodySmallRight">
    <w:name w:val="Body Small Right"/>
    <w:basedOn w:val="BodyTextRight"/>
    <w:rsid w:val="0077505D"/>
    <w:rPr>
      <w:sz w:val="18"/>
      <w:szCs w:val="18"/>
    </w:rPr>
  </w:style>
  <w:style w:type="paragraph" w:customStyle="1" w:styleId="MarginEdition">
    <w:name w:val="Margin Edition"/>
    <w:basedOn w:val="MarginNote"/>
    <w:rsid w:val="00775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05D"/>
    <w:rPr>
      <w:sz w:val="2"/>
      <w:szCs w:val="2"/>
    </w:rPr>
  </w:style>
  <w:style w:type="character" w:customStyle="1" w:styleId="Small">
    <w:name w:val="Small"/>
    <w:basedOn w:val="DefaultParagraphFont"/>
    <w:rsid w:val="0077505D"/>
    <w:rPr>
      <w:sz w:val="16"/>
    </w:rPr>
  </w:style>
  <w:style w:type="paragraph" w:customStyle="1" w:styleId="WideTable">
    <w:name w:val="Wide Table"/>
    <w:basedOn w:val="Normal"/>
    <w:rsid w:val="00775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05D"/>
  </w:style>
  <w:style w:type="paragraph" w:styleId="Quote">
    <w:name w:val="Quote"/>
    <w:basedOn w:val="Heading1"/>
    <w:link w:val="QuoteChar"/>
    <w:qFormat/>
    <w:rsid w:val="00775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05D"/>
    <w:pPr>
      <w:pageBreakBefore/>
    </w:pPr>
  </w:style>
  <w:style w:type="paragraph" w:customStyle="1" w:styleId="Border">
    <w:name w:val="Border"/>
    <w:basedOn w:val="Normal"/>
    <w:qFormat/>
    <w:rsid w:val="00775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05D"/>
    <w:rPr>
      <w:u w:val="single"/>
    </w:rPr>
  </w:style>
  <w:style w:type="character" w:customStyle="1" w:styleId="BoldandItalics">
    <w:name w:val="Bold and Italics"/>
    <w:qFormat/>
    <w:rsid w:val="0077505D"/>
    <w:rPr>
      <w:b/>
      <w:i/>
      <w:u w:val="none"/>
    </w:rPr>
  </w:style>
  <w:style w:type="paragraph" w:styleId="BalloonText">
    <w:name w:val="Balloon Text"/>
    <w:basedOn w:val="Normal"/>
    <w:link w:val="BalloonTextChar"/>
    <w:rsid w:val="00775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05D"/>
    <w:pPr>
      <w:spacing w:before="0" w:after="0"/>
    </w:pPr>
  </w:style>
  <w:style w:type="paragraph" w:customStyle="1" w:styleId="BodyTextBold">
    <w:name w:val="Body Text Bold"/>
    <w:basedOn w:val="BodyText"/>
    <w:qFormat/>
    <w:rsid w:val="0077505D"/>
    <w:rPr>
      <w:b/>
    </w:rPr>
  </w:style>
  <w:style w:type="character" w:styleId="Hyperlink">
    <w:name w:val="Hyperlink"/>
    <w:basedOn w:val="DefaultParagraphFont"/>
    <w:uiPriority w:val="99"/>
    <w:unhideWhenUsed/>
    <w:rsid w:val="008E4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4218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MEM23114 Evaluate thermodynamic systems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2023-02-03T07:23:00Z</dcterms:created>
  <dcterms:modified xsi:type="dcterms:W3CDTF">2023-02-03T07:23:00Z</dcterms:modified>
</cp:coreProperties>
</file>