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100" w:rsidP="00ED71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MEM23109 Apply engineering mechanics principles</w:t>
      </w:r>
      <w:r>
        <w:fldChar w:fldCharType="end"/>
      </w:r>
    </w:p>
    <w:p w:rsidR="00ED7100" w:rsidP="00ED7100">
      <w:pPr>
        <w:pStyle w:val="Version"/>
        <w:sectPr w:rsidSect="00FB2E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2E87" w:rsidP="00FB2E87">
      <w:pPr>
        <w:pStyle w:val="SuperHeading"/>
      </w:pPr>
      <w:r w:rsidRPr="00FB2E87">
        <w:t>Assessment Requirements for MEM23109 Apply engineering mechanics principles</w:t>
      </w:r>
    </w:p>
    <w:p w:rsidR="00000000" w:rsidRPr="00FB2E87" w:rsidP="00FB2E87">
      <w:pPr>
        <w:pStyle w:val="Heading1"/>
      </w:pPr>
      <w:bookmarkStart w:id="1" w:name="O_943938"/>
      <w:bookmarkEnd w:id="1"/>
      <w:r w:rsidRPr="00FB2E87">
        <w:t>Modification History</w:t>
      </w:r>
    </w:p>
    <w:p w:rsidR="00ED7100" w:rsidP="00ED7100">
      <w:pPr>
        <w:pStyle w:val="BodyText"/>
      </w:pPr>
      <w:r w:rsidRPr="00FB2E87">
        <w:t>Release 1. Supersedes and is equivalent to MEM23109A Apply engineering mechanics principles.</w:t>
      </w:r>
    </w:p>
    <w:p w:rsidR="00000000" w:rsidRPr="00FB2E87" w:rsidP="00FB2E87">
      <w:pPr>
        <w:pStyle w:val="Heading1"/>
      </w:pPr>
      <w:bookmarkStart w:id="2" w:name="O_943941"/>
      <w:bookmarkEnd w:id="2"/>
      <w:r w:rsidRPr="00FB2E87">
        <w:t>Performance Evidence</w:t>
      </w:r>
    </w:p>
    <w:p w:rsidR="00000000" w:rsidRPr="00FB2E87" w:rsidP="00ED7100">
      <w:pPr>
        <w:pStyle w:val="BodyText"/>
      </w:pPr>
      <w:r w:rsidRPr="00FB2E87">
        <w:t>Evidence required to demonstrate competence in this unit must be relevant to and satisfy the requirements of the elements and performance criteria and include:</w:t>
      </w:r>
    </w:p>
    <w:p w:rsidR="00000000" w:rsidRPr="00FB2E87" w:rsidP="00FB2E87">
      <w:pPr>
        <w:pStyle w:val="ListBullet"/>
      </w:pPr>
      <w:r w:rsidRPr="00FB2E87">
        <w:t>determining parameters and context of tasks</w:t>
      </w:r>
    </w:p>
    <w:p w:rsidR="00000000" w:rsidRPr="00FB2E87" w:rsidP="00FB2E87">
      <w:pPr>
        <w:pStyle w:val="ListBullet"/>
      </w:pPr>
      <w:r w:rsidRPr="00FB2E87">
        <w:t>applying work health and safety (WHS), regulatory r</w:t>
      </w:r>
      <w:r w:rsidRPr="00FB2E87">
        <w:t>equirements, risk management and organisational procedures</w:t>
      </w:r>
    </w:p>
    <w:p w:rsidR="00000000" w:rsidRPr="00FB2E87" w:rsidP="00FB2E87">
      <w:pPr>
        <w:pStyle w:val="ListBullet"/>
      </w:pPr>
      <w:r w:rsidRPr="00FB2E87">
        <w:t>reviewing sustainability implications and functions and features of devices, machines and systems</w:t>
      </w:r>
    </w:p>
    <w:p w:rsidR="00000000" w:rsidRPr="00FB2E87" w:rsidP="00FB2E87">
      <w:pPr>
        <w:pStyle w:val="ListBullet"/>
      </w:pPr>
      <w:r w:rsidRPr="00FB2E87">
        <w:t>assessing and applying engineering mechanics principles, including use of software basic analysis a</w:t>
      </w:r>
      <w:r w:rsidRPr="00FB2E87">
        <w:t>nd graphics skills and techniques, on at least two occasions</w:t>
      </w:r>
    </w:p>
    <w:p w:rsidR="00000000" w:rsidRPr="00FB2E87" w:rsidP="00FB2E87">
      <w:pPr>
        <w:pStyle w:val="ListBullet"/>
      </w:pPr>
      <w:r w:rsidRPr="00FB2E87">
        <w:t>ensuring compatibility of units in calculations</w:t>
      </w:r>
    </w:p>
    <w:p w:rsidR="00000000" w:rsidRPr="00FB2E87" w:rsidP="00FB2E87">
      <w:pPr>
        <w:pStyle w:val="ListBullet"/>
      </w:pPr>
      <w:r w:rsidRPr="00FB2E87">
        <w:t>reporting and documenting results in accordance with procedures.</w:t>
      </w:r>
    </w:p>
    <w:p w:rsidR="00ED7100" w:rsidRPr="00ED7100" w:rsidP="00ED7100">
      <w:pPr>
        <w:pStyle w:val="BodyText"/>
        <w:rPr>
          <w:i/>
        </w:rPr>
      </w:pPr>
      <w:r w:rsidRPr="00ED7100">
        <w:rPr>
          <w:rStyle w:val="Emphasis"/>
        </w:rPr>
        <w:t>Note: Where a volume and/or frequency is not specified, demonstration must be prov</w:t>
      </w:r>
      <w:r w:rsidRPr="00ED7100">
        <w:rPr>
          <w:rStyle w:val="Emphasis"/>
        </w:rPr>
        <w:t>ided at least once.</w:t>
      </w:r>
    </w:p>
    <w:p w:rsidR="00000000" w:rsidRPr="00FB2E87" w:rsidP="00FB2E87">
      <w:pPr>
        <w:pStyle w:val="Heading1"/>
      </w:pPr>
      <w:bookmarkStart w:id="3" w:name="O_943940"/>
      <w:bookmarkEnd w:id="3"/>
      <w:r w:rsidRPr="00FB2E87">
        <w:t>Knowledge Evidence</w:t>
      </w:r>
    </w:p>
    <w:p w:rsidR="00000000" w:rsidRPr="00FB2E87" w:rsidP="00ED7100">
      <w:pPr>
        <w:pStyle w:val="BodyText"/>
      </w:pPr>
      <w:r w:rsidRPr="00FB2E87">
        <w:t>Evidence required to demonstrate the required knowledge for this unit must be relevant to and satisfy the requirements of the elements and performance criteria and include knowledge of:</w:t>
      </w:r>
    </w:p>
    <w:p w:rsidR="00000000" w:rsidRPr="00FB2E87" w:rsidP="00FB2E87">
      <w:pPr>
        <w:pStyle w:val="ListBullet"/>
      </w:pPr>
      <w:r w:rsidRPr="00FB2E87">
        <w:t xml:space="preserve">engineering </w:t>
      </w:r>
      <w:r w:rsidRPr="00FB2E87">
        <w:t>mechanics tasks</w:t>
      </w:r>
    </w:p>
    <w:p w:rsidR="00000000" w:rsidRPr="00FB2E87" w:rsidP="00FB2E87">
      <w:pPr>
        <w:pStyle w:val="ListBullet"/>
      </w:pPr>
      <w:r w:rsidRPr="00FB2E87">
        <w:t>mathematical techniques including arithmetic, algebra, trigonometry and geometry</w:t>
      </w:r>
    </w:p>
    <w:p w:rsidR="00000000" w:rsidRPr="00FB2E87" w:rsidP="00FB2E87">
      <w:pPr>
        <w:pStyle w:val="ListBullet"/>
      </w:pPr>
      <w:r w:rsidRPr="00FB2E87">
        <w:t>definition of typical applications of mechanics, statics, dynamics, kinematics, kinetics and strength of materials</w:t>
      </w:r>
    </w:p>
    <w:p w:rsidR="00000000" w:rsidRPr="00FB2E87" w:rsidP="00FB2E87">
      <w:pPr>
        <w:pStyle w:val="ListBullet"/>
      </w:pPr>
      <w:r w:rsidRPr="00FB2E87">
        <w:t>analytical, graphical, semi-graphical and so</w:t>
      </w:r>
      <w:r w:rsidRPr="00FB2E87">
        <w:t>ftware-assisted techniques for tasks</w:t>
      </w:r>
    </w:p>
    <w:p w:rsidR="00000000" w:rsidRPr="00FB2E87" w:rsidP="00FB2E87">
      <w:pPr>
        <w:pStyle w:val="ListBullet"/>
      </w:pPr>
      <w:r w:rsidRPr="00FB2E87">
        <w:t>physical quantities and dimensions including international system of units (SI) and fundamental dimensions and units</w:t>
      </w:r>
    </w:p>
    <w:p w:rsidR="00000000" w:rsidRPr="00FB2E87" w:rsidP="00FB2E87">
      <w:pPr>
        <w:pStyle w:val="ListBullet"/>
      </w:pPr>
      <w:r w:rsidRPr="00FB2E87">
        <w:t>2D plane motion (only)</w:t>
      </w:r>
    </w:p>
    <w:p w:rsidR="00000000" w:rsidRPr="00FB2E87" w:rsidP="00FB2E87">
      <w:pPr>
        <w:pStyle w:val="ListBullet"/>
      </w:pPr>
      <w:r w:rsidRPr="00FB2E87">
        <w:t>basic principles of statics applicable to mechanical devices and systems</w:t>
      </w:r>
    </w:p>
    <w:p w:rsidR="00000000" w:rsidRPr="00FB2E87" w:rsidP="00FB2E87">
      <w:pPr>
        <w:pStyle w:val="ListBullet"/>
      </w:pPr>
      <w:r w:rsidRPr="00FB2E87">
        <w:t>application of force systems applied to bodies, frames and beams</w:t>
      </w:r>
    </w:p>
    <w:p w:rsidR="00000000" w:rsidRPr="00FB2E87" w:rsidP="00FB2E87">
      <w:pPr>
        <w:pStyle w:val="ListBullet"/>
      </w:pPr>
      <w:r w:rsidRPr="00FB2E87">
        <w:t>friction laws and applications in mechanical devices and systems</w:t>
      </w:r>
    </w:p>
    <w:p w:rsidR="00000000" w:rsidRPr="00FB2E87" w:rsidP="00FB2E87">
      <w:pPr>
        <w:pStyle w:val="ListBullet"/>
      </w:pPr>
      <w:r w:rsidRPr="00FB2E87">
        <w:t>stress and strain:</w:t>
      </w:r>
    </w:p>
    <w:p w:rsidR="00000000" w:rsidRPr="00FB2E87" w:rsidP="00FB2E87">
      <w:pPr>
        <w:pStyle w:val="ListBullet2"/>
      </w:pPr>
      <w:r w:rsidRPr="00FB2E87">
        <w:t>axial stress</w:t>
      </w:r>
    </w:p>
    <w:p w:rsidR="00000000" w:rsidRPr="00FB2E87" w:rsidP="00FB2E87">
      <w:pPr>
        <w:pStyle w:val="ListBullet2"/>
      </w:pPr>
      <w:r w:rsidRPr="00FB2E87">
        <w:t>shear stress</w:t>
      </w:r>
    </w:p>
    <w:p w:rsidR="00000000" w:rsidRPr="00FB2E87" w:rsidP="00FB2E87">
      <w:pPr>
        <w:pStyle w:val="ListBullet2"/>
      </w:pPr>
      <w:r w:rsidRPr="00FB2E87">
        <w:t>bolted and welded joints</w:t>
      </w:r>
    </w:p>
    <w:p w:rsidR="00000000" w:rsidRPr="00FB2E87" w:rsidP="00FB2E87">
      <w:pPr>
        <w:pStyle w:val="ListBullet2"/>
      </w:pPr>
      <w:r w:rsidRPr="00FB2E87">
        <w:t>torsional stress</w:t>
      </w:r>
    </w:p>
    <w:p w:rsidR="00000000" w:rsidRPr="00FB2E87" w:rsidP="00FB2E87">
      <w:pPr>
        <w:pStyle w:val="ListBullet"/>
      </w:pPr>
      <w:r w:rsidRPr="00FB2E87">
        <w:t>bending of beams</w:t>
      </w:r>
    </w:p>
    <w:p w:rsidR="00000000" w:rsidRPr="00FB2E87" w:rsidP="00FB2E87">
      <w:pPr>
        <w:pStyle w:val="ListBullet"/>
      </w:pPr>
      <w:r w:rsidRPr="00FB2E87">
        <w:t xml:space="preserve">dynamics applicable </w:t>
      </w:r>
      <w:r w:rsidRPr="00FB2E87">
        <w:t>to mechanical devices and systems, including:</w:t>
      </w:r>
    </w:p>
    <w:p w:rsidR="00000000" w:rsidRPr="00FB2E87" w:rsidP="00FB2E87">
      <w:pPr>
        <w:pStyle w:val="ListBullet2"/>
      </w:pPr>
      <w:r w:rsidRPr="00FB2E87">
        <w:t>kinematics of rectilinear motion:</w:t>
      </w:r>
    </w:p>
    <w:p w:rsidR="00000000" w:rsidRPr="00FB2E87" w:rsidP="00FB2E87">
      <w:pPr>
        <w:pStyle w:val="ListBullet3"/>
      </w:pPr>
      <w:r w:rsidRPr="00FB2E87">
        <w:t>displacement, velocity and acceleration</w:t>
      </w:r>
    </w:p>
    <w:p w:rsidR="00000000" w:rsidRPr="00FB2E87" w:rsidP="00FB2E87">
      <w:pPr>
        <w:pStyle w:val="ListBullet3"/>
      </w:pPr>
      <w:r w:rsidRPr="00FB2E87">
        <w:t>equations of rectilinear motion</w:t>
      </w:r>
    </w:p>
    <w:p w:rsidR="00000000" w:rsidRPr="00FB2E87" w:rsidP="00FB2E87">
      <w:pPr>
        <w:pStyle w:val="ListBullet3"/>
      </w:pPr>
      <w:r w:rsidRPr="00FB2E87">
        <w:t>equations of simple harmonic motion</w:t>
      </w:r>
    </w:p>
    <w:p w:rsidR="00000000" w:rsidRPr="00FB2E87" w:rsidP="00FB2E87">
      <w:pPr>
        <w:pStyle w:val="ListBullet3"/>
      </w:pPr>
      <w:r w:rsidRPr="00FB2E87">
        <w:t>uniform acceleration and sinusoidal acceleration</w:t>
      </w:r>
    </w:p>
    <w:p w:rsidR="00000000" w:rsidRPr="00FB2E87" w:rsidP="00FB2E87">
      <w:pPr>
        <w:pStyle w:val="ListBullet2"/>
      </w:pPr>
      <w:r w:rsidRPr="00FB2E87">
        <w:t>kinetics of rectilinear motion including:</w:t>
      </w:r>
    </w:p>
    <w:p w:rsidR="00000000" w:rsidRPr="00FB2E87" w:rsidP="00FB2E87">
      <w:pPr>
        <w:pStyle w:val="ListBullet3"/>
      </w:pPr>
      <w:r w:rsidRPr="00FB2E87">
        <w:t>force, mass and acceleration</w:t>
      </w:r>
    </w:p>
    <w:p w:rsidR="00000000" w:rsidRPr="00FB2E87" w:rsidP="00FB2E87">
      <w:pPr>
        <w:pStyle w:val="ListBullet3"/>
      </w:pPr>
      <w:r w:rsidRPr="00FB2E87">
        <w:t>freely falling bodies</w:t>
      </w:r>
    </w:p>
    <w:p w:rsidR="00000000" w:rsidRPr="00FB2E87" w:rsidP="00FB2E87">
      <w:pPr>
        <w:pStyle w:val="ListBullet3"/>
      </w:pPr>
      <w:r w:rsidRPr="00FB2E87">
        <w:t>acceleration against resistance (accelerating force = unbalanced force)</w:t>
      </w:r>
    </w:p>
    <w:p w:rsidR="00000000" w:rsidRPr="00FB2E87" w:rsidP="00FB2E87">
      <w:pPr>
        <w:pStyle w:val="ListBullet3"/>
      </w:pPr>
      <w:r w:rsidRPr="00FB2E87">
        <w:t>acceleration against gravity and terminal velocity</w:t>
      </w:r>
    </w:p>
    <w:p w:rsidR="00000000" w:rsidRPr="00FB2E87" w:rsidP="00FB2E87">
      <w:pPr>
        <w:pStyle w:val="ListBullet3"/>
      </w:pPr>
      <w:r w:rsidRPr="00FB2E87">
        <w:t>acceleration against dry sliding fricti</w:t>
      </w:r>
      <w:r w:rsidRPr="00FB2E87">
        <w:t>on and air resistance</w:t>
      </w:r>
    </w:p>
    <w:p w:rsidR="00000000" w:rsidRPr="00FB2E87" w:rsidP="00FB2E87">
      <w:pPr>
        <w:pStyle w:val="ListBullet3"/>
      </w:pPr>
      <w:r w:rsidRPr="00FB2E87">
        <w:t>forces diagrams</w:t>
      </w:r>
    </w:p>
    <w:p w:rsidR="00000000" w:rsidRPr="00FB2E87" w:rsidP="00FB2E87">
      <w:pPr>
        <w:pStyle w:val="ListBullet2"/>
      </w:pPr>
      <w:r w:rsidRPr="00FB2E87">
        <w:t>curvilinear motion including:</w:t>
      </w:r>
    </w:p>
    <w:p w:rsidR="00000000" w:rsidRPr="00FB2E87" w:rsidP="00FB2E87">
      <w:pPr>
        <w:pStyle w:val="ListBullet3"/>
      </w:pPr>
      <w:r w:rsidRPr="00FB2E87">
        <w:t>normal acceleration in curvilinear motion</w:t>
      </w:r>
    </w:p>
    <w:p w:rsidR="00000000" w:rsidRPr="00FB2E87" w:rsidP="00FB2E87">
      <w:pPr>
        <w:pStyle w:val="ListBullet3"/>
      </w:pPr>
      <w:r w:rsidRPr="00FB2E87">
        <w:t>centrifugal force</w:t>
      </w:r>
    </w:p>
    <w:p w:rsidR="00000000" w:rsidRPr="00FB2E87" w:rsidP="00FB2E87">
      <w:pPr>
        <w:pStyle w:val="ListBullet3"/>
      </w:pPr>
      <w:r w:rsidRPr="00FB2E87">
        <w:t>circular motion as a case of curvilinear motion</w:t>
      </w:r>
    </w:p>
    <w:p w:rsidR="00000000" w:rsidRPr="00FB2E87" w:rsidP="00FB2E87">
      <w:pPr>
        <w:pStyle w:val="ListBullet2"/>
      </w:pPr>
      <w:r w:rsidRPr="00FB2E87">
        <w:t>kinematics of rotation including:</w:t>
      </w:r>
    </w:p>
    <w:p w:rsidR="00000000" w:rsidRPr="00FB2E87" w:rsidP="00FB2E87">
      <w:pPr>
        <w:pStyle w:val="ListBullet3"/>
      </w:pPr>
      <w:r w:rsidRPr="00FB2E87">
        <w:t>rotational motion</w:t>
      </w:r>
    </w:p>
    <w:p w:rsidR="00000000" w:rsidRPr="00FB2E87" w:rsidP="00FB2E87">
      <w:pPr>
        <w:pStyle w:val="ListBullet3"/>
      </w:pPr>
      <w:r w:rsidRPr="00FB2E87">
        <w:t>angular displacement</w:t>
      </w:r>
    </w:p>
    <w:p w:rsidR="00000000" w:rsidRPr="00FB2E87" w:rsidP="00FB2E87">
      <w:pPr>
        <w:pStyle w:val="ListBullet3"/>
      </w:pPr>
      <w:r w:rsidRPr="00FB2E87">
        <w:t>angular velocity</w:t>
      </w:r>
    </w:p>
    <w:p w:rsidR="00000000" w:rsidRPr="00FB2E87" w:rsidP="00FB2E87">
      <w:pPr>
        <w:pStyle w:val="ListBullet3"/>
      </w:pPr>
      <w:r w:rsidRPr="00FB2E87">
        <w:t>angular acceleration</w:t>
      </w:r>
    </w:p>
    <w:p w:rsidR="00000000" w:rsidRPr="00FB2E87" w:rsidP="00FB2E87">
      <w:pPr>
        <w:pStyle w:val="ListBullet3"/>
      </w:pPr>
      <w:r w:rsidRPr="00FB2E87">
        <w:t>conversions of units of angular motion</w:t>
      </w:r>
    </w:p>
    <w:p w:rsidR="00000000" w:rsidRPr="00FB2E87" w:rsidP="00FB2E87">
      <w:pPr>
        <w:pStyle w:val="ListBullet3"/>
      </w:pPr>
      <w:r w:rsidRPr="00FB2E87">
        <w:t>equations of rotation with uniform acceleration</w:t>
      </w:r>
    </w:p>
    <w:p w:rsidR="00000000" w:rsidRPr="00FB2E87" w:rsidP="00FB2E87">
      <w:pPr>
        <w:pStyle w:val="ListBullet3"/>
      </w:pPr>
      <w:r w:rsidRPr="00FB2E87">
        <w:t>relation between linear and angular motion</w:t>
      </w:r>
    </w:p>
    <w:p w:rsidR="00000000" w:rsidRPr="00FB2E87" w:rsidP="00FB2E87">
      <w:pPr>
        <w:pStyle w:val="ListBullet2"/>
      </w:pPr>
      <w:r w:rsidRPr="00FB2E87">
        <w:t>kinetics of rotation including:</w:t>
      </w:r>
    </w:p>
    <w:p w:rsidR="00000000" w:rsidRPr="00FB2E87" w:rsidP="00FB2E87">
      <w:pPr>
        <w:pStyle w:val="ListBullet3"/>
      </w:pPr>
      <w:r w:rsidRPr="00FB2E87">
        <w:t xml:space="preserve">moment of inertia, second moment of mass, concept and </w:t>
      </w:r>
      <w:r w:rsidRPr="00FB2E87">
        <w:t>units</w:t>
      </w:r>
    </w:p>
    <w:p w:rsidR="00000000" w:rsidRPr="00FB2E87" w:rsidP="00FB2E87">
      <w:pPr>
        <w:pStyle w:val="ListBullet3"/>
      </w:pPr>
      <w:r w:rsidRPr="00FB2E87">
        <w:t>torque due to inertia compared with torque due to winding drum rope force</w:t>
      </w:r>
    </w:p>
    <w:p w:rsidR="00000000" w:rsidRPr="00FB2E87" w:rsidP="00FB2E87">
      <w:pPr>
        <w:pStyle w:val="ListBullet"/>
      </w:pPr>
      <w:r w:rsidRPr="00FB2E87">
        <w:t>law of a machine</w:t>
      </w:r>
    </w:p>
    <w:p w:rsidR="00000000" w:rsidRPr="00FB2E87" w:rsidP="00FB2E87">
      <w:pPr>
        <w:pStyle w:val="ListBullet"/>
      </w:pPr>
      <w:r w:rsidRPr="00FB2E87">
        <w:t>work, energy and power</w:t>
      </w:r>
    </w:p>
    <w:p w:rsidR="00ED7100" w:rsidP="00FB2E87">
      <w:pPr>
        <w:pStyle w:val="ListBullet"/>
      </w:pPr>
      <w:r w:rsidRPr="00FB2E87">
        <w:t>specifications for engineering hardware applicable to mechanical devices and systems.</w:t>
      </w:r>
    </w:p>
    <w:p w:rsidR="00ED7100" w:rsidP="00FB2E87">
      <w:pPr>
        <w:pStyle w:val="ListBullet"/>
      </w:pPr>
    </w:p>
    <w:p w:rsidR="00000000" w:rsidRPr="00FB2E87" w:rsidP="00FB2E87">
      <w:pPr>
        <w:pStyle w:val="Heading1"/>
      </w:pPr>
      <w:bookmarkStart w:id="4" w:name="O_943939"/>
      <w:bookmarkEnd w:id="4"/>
      <w:r w:rsidRPr="00FB2E87">
        <w:t>Assessment Conditions</w:t>
      </w:r>
    </w:p>
    <w:p w:rsidR="00000000" w:rsidRPr="00FB2E87" w:rsidP="00FB2E87">
      <w:pPr>
        <w:pStyle w:val="ListBullet"/>
      </w:pPr>
      <w:r w:rsidRPr="00FB2E87">
        <w:t>Assessors must:</w:t>
      </w:r>
    </w:p>
    <w:p w:rsidR="00000000" w:rsidRPr="00FB2E87" w:rsidP="00FB2E87">
      <w:pPr>
        <w:pStyle w:val="ListBullet2"/>
      </w:pPr>
      <w:r w:rsidRPr="00FB2E87">
        <w:t>have vocational competency in applying engineering mechanics principles in engineering situations at least to the level being assessed with relevant industry knowledge and experience</w:t>
      </w:r>
    </w:p>
    <w:p w:rsidR="00000000" w:rsidRPr="00FB2E87" w:rsidP="00FB2E87">
      <w:pPr>
        <w:pStyle w:val="ListBullet2"/>
      </w:pPr>
      <w:r w:rsidRPr="00FB2E87">
        <w:t xml:space="preserve">satisfy the assessor requirements in the </w:t>
      </w:r>
      <w:r w:rsidRPr="00FB2E87">
        <w:rPr>
          <w:rStyle w:val="Emphasis"/>
        </w:rPr>
        <w:t>Standards for R</w:t>
      </w:r>
      <w:r w:rsidRPr="00FB2E87">
        <w:rPr>
          <w:rStyle w:val="Emphasis"/>
        </w:rPr>
        <w:t xml:space="preserve">egistered Training Organisations 2015 or its replacement </w:t>
      </w:r>
      <w:r w:rsidRPr="00FB2E87">
        <w:t xml:space="preserve">and comply with the </w:t>
      </w:r>
      <w:r w:rsidRPr="00FB2E87">
        <w:rPr>
          <w:rStyle w:val="Emphasis"/>
        </w:rPr>
        <w:t xml:space="preserve">National Vocational Education and Training Regulator Act 2011, </w:t>
      </w:r>
      <w:r w:rsidRPr="00FB2E87">
        <w:t>its replacement</w:t>
      </w:r>
      <w:r w:rsidRPr="00FB2E87">
        <w:rPr>
          <w:rStyle w:val="Emphasis"/>
        </w:rPr>
        <w:t xml:space="preserve"> </w:t>
      </w:r>
      <w:r w:rsidRPr="00FB2E87">
        <w:t>or equivalent legislation covering VET regulation in a non-referring state/territory as the case req</w:t>
      </w:r>
      <w:r w:rsidRPr="00FB2E87">
        <w:t>uires.</w:t>
      </w:r>
    </w:p>
    <w:p w:rsidR="00000000" w:rsidRPr="00FB2E87" w:rsidP="00FB2E87">
      <w:pPr>
        <w:pStyle w:val="ListBullet"/>
      </w:pPr>
      <w:r w:rsidRPr="00FB2E87">
        <w:t xml:space="preserve">Where possible assessment must occur in operational workplace situations. Where this is not possible or where personal safety or environmental damage are limiting factors, assessment must occur in a sufficiently rigorous simulated environment that </w:t>
      </w:r>
      <w:r w:rsidRPr="00FB2E87">
        <w:t>reflects realistic operational workplace conditions that cover all aspects of workplace performance, including environment, task skills, task management skills, contingency management skills and job role environment skills.</w:t>
      </w:r>
    </w:p>
    <w:p w:rsidR="00000000" w:rsidRPr="00FB2E87" w:rsidP="00FB2E87">
      <w:pPr>
        <w:pStyle w:val="ListBullet"/>
      </w:pPr>
      <w:r w:rsidRPr="00FB2E87">
        <w:t>Conditions for assessment must i</w:t>
      </w:r>
      <w:r w:rsidRPr="00FB2E87">
        <w:t>nclude access to all tools, equipment, materials and documentation required including relevant workplace procedures, product and manufacturing specifications.</w:t>
      </w:r>
    </w:p>
    <w:p w:rsidR="00ED7100" w:rsidP="00FB2E87">
      <w:pPr>
        <w:pStyle w:val="ListBullet"/>
      </w:pPr>
      <w:r w:rsidRPr="00FB2E87">
        <w:t>Assessment processes and techniques must be appropriate to the language, literacy and numeracy re</w:t>
      </w:r>
      <w:r w:rsidRPr="00FB2E87">
        <w:t>quirements of the work being performed and the needs of the candidate.</w:t>
      </w:r>
    </w:p>
    <w:p w:rsidR="00ED7100" w:rsidP="00FB2E87">
      <w:pPr>
        <w:pStyle w:val="ListBullet"/>
      </w:pPr>
    </w:p>
    <w:p w:rsidR="00000000" w:rsidRPr="00FB2E87" w:rsidP="00FB2E87">
      <w:pPr>
        <w:pStyle w:val="Heading1"/>
      </w:pPr>
      <w:bookmarkStart w:id="5" w:name="O_943937"/>
      <w:bookmarkEnd w:id="5"/>
      <w:r w:rsidRPr="00FB2E87">
        <w:t>Links</w:t>
      </w:r>
    </w:p>
    <w:p w:rsidR="00000000" w:rsidRPr="00FB2E87" w:rsidP="00ED7100">
      <w:pPr>
        <w:pStyle w:val="BodyText"/>
      </w:pPr>
      <w:r w:rsidRPr="00FB2E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E0391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B2E87" w:rsidP="00FB2E87"/>
    <w:sectPr w:rsidSect="00FB2E8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87" w:rsidRPr="00ED7100" w:rsidP="00ED71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100" w:rsidP="00FB2E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D7100" w:rsidP="00FB2E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D7100" w:rsidP="00FB2E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1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2E87" w:rsidRPr="00ED7100" w:rsidP="00ED71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2E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100" w:rsidRPr="002D2AF8" w:rsidP="00FB2E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MEM23109 Apply engineering mechanics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D7100" w:rsidP="00FB2E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1EA9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DE78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72A1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E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2E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2E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2E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2E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2E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2E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2E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2E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2E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2E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2E87"/>
  </w:style>
  <w:style w:type="character" w:customStyle="1" w:styleId="Heading1Char">
    <w:name w:val="Heading 1 Char"/>
    <w:basedOn w:val="DefaultParagraphFont"/>
    <w:link w:val="Heading1"/>
    <w:rsid w:val="00FB2E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2E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2E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2E8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B2E87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B2E87"/>
    <w:rPr>
      <w:i/>
    </w:rPr>
  </w:style>
  <w:style w:type="paragraph" w:customStyle="1" w:styleId="SuperHeading">
    <w:name w:val="SuperHeading"/>
    <w:basedOn w:val="Normal"/>
    <w:rsid w:val="00FB2E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2E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B2E8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B2E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2E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2E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2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2E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2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2E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2E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2E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2E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2E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2E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2E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2E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2E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2E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2E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2E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2E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2E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B2E87"/>
    <w:rPr>
      <w:b/>
      <w:spacing w:val="0"/>
    </w:rPr>
  </w:style>
  <w:style w:type="paragraph" w:customStyle="1" w:styleId="SuperTitle">
    <w:name w:val="SuperTitle"/>
    <w:basedOn w:val="Title"/>
    <w:rsid w:val="00FB2E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2E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2E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2E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2E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2E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2E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2E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2E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2E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2E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2E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B2E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2E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2E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2E87"/>
  </w:style>
  <w:style w:type="paragraph" w:styleId="TableofFigures">
    <w:name w:val="table of figures"/>
    <w:basedOn w:val="Normal"/>
    <w:next w:val="Normal"/>
    <w:semiHidden/>
    <w:rsid w:val="00FB2E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2E8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B2E87"/>
    <w:rPr>
      <w:rFonts w:ascii="Wingdings" w:hAnsi="Wingdings"/>
    </w:rPr>
  </w:style>
  <w:style w:type="paragraph" w:customStyle="1" w:styleId="TableHeading">
    <w:name w:val="Table Heading"/>
    <w:basedOn w:val="HeadingBase"/>
    <w:rsid w:val="00FB2E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2E87"/>
    <w:rPr>
      <w:color w:val="0033CC"/>
      <w:u w:val="none"/>
    </w:rPr>
  </w:style>
  <w:style w:type="paragraph" w:customStyle="1" w:styleId="BodyTextRight">
    <w:name w:val="Body Text Right"/>
    <w:basedOn w:val="BodyText"/>
    <w:rsid w:val="00FB2E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2E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2E8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2E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2E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2E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2E87"/>
    <w:rPr>
      <w:sz w:val="32"/>
    </w:rPr>
  </w:style>
  <w:style w:type="paragraph" w:customStyle="1" w:styleId="HeadingProcedure">
    <w:name w:val="Heading Procedure"/>
    <w:basedOn w:val="HeadingBase"/>
    <w:next w:val="Normal"/>
    <w:rsid w:val="00FB2E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2E87"/>
    <w:pPr>
      <w:spacing w:before="60" w:after="60"/>
    </w:pPr>
  </w:style>
  <w:style w:type="paragraph" w:styleId="ListContinue">
    <w:name w:val="List Continue"/>
    <w:basedOn w:val="List"/>
    <w:rsid w:val="00FB2E87"/>
    <w:pPr>
      <w:ind w:firstLine="0"/>
    </w:pPr>
  </w:style>
  <w:style w:type="paragraph" w:customStyle="1" w:styleId="ListNote">
    <w:name w:val="List Note"/>
    <w:basedOn w:val="List"/>
    <w:rsid w:val="00FB2E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2E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2E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2E87"/>
    <w:rPr>
      <w:rFonts w:ascii="Courier New" w:hAnsi="Courier New"/>
    </w:rPr>
  </w:style>
  <w:style w:type="paragraph" w:customStyle="1" w:styleId="NoteBullet">
    <w:name w:val="Note Bullet"/>
    <w:basedOn w:val="Note"/>
    <w:rsid w:val="00FB2E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2E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2E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2E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2E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B2E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2E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2E87"/>
    <w:rPr>
      <w:b/>
      <w:smallCaps/>
    </w:rPr>
  </w:style>
  <w:style w:type="paragraph" w:customStyle="1" w:styleId="TableListNumber">
    <w:name w:val="Table List Number"/>
    <w:basedOn w:val="ListNumber"/>
    <w:rsid w:val="00FB2E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2E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2E87"/>
    <w:pPr>
      <w:numPr>
        <w:numId w:val="10"/>
      </w:numPr>
    </w:pPr>
  </w:style>
  <w:style w:type="paragraph" w:customStyle="1" w:styleId="ListAlpha2">
    <w:name w:val="List Alpha 2"/>
    <w:basedOn w:val="List2"/>
    <w:rsid w:val="00FB2E87"/>
    <w:pPr>
      <w:numPr>
        <w:numId w:val="9"/>
      </w:numPr>
    </w:pPr>
  </w:style>
  <w:style w:type="paragraph" w:styleId="List2">
    <w:name w:val="List 2"/>
    <w:basedOn w:val="BodyText"/>
    <w:rsid w:val="00FB2E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2E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2E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2E8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B2E8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B2E87"/>
    <w:pPr>
      <w:numPr>
        <w:numId w:val="5"/>
      </w:numPr>
    </w:pPr>
  </w:style>
  <w:style w:type="paragraph" w:styleId="ListContinue2">
    <w:name w:val="List Continue 2"/>
    <w:basedOn w:val="List2"/>
    <w:rsid w:val="00FB2E87"/>
    <w:pPr>
      <w:ind w:firstLine="0"/>
    </w:pPr>
  </w:style>
  <w:style w:type="paragraph" w:styleId="ListContinue3">
    <w:name w:val="List Continue 3"/>
    <w:basedOn w:val="List3"/>
    <w:rsid w:val="00FB2E87"/>
    <w:pPr>
      <w:ind w:left="1021" w:firstLine="0"/>
    </w:pPr>
  </w:style>
  <w:style w:type="paragraph" w:styleId="ListContinue4">
    <w:name w:val="List Continue 4"/>
    <w:basedOn w:val="List4"/>
    <w:rsid w:val="00FB2E87"/>
    <w:pPr>
      <w:ind w:firstLine="0"/>
    </w:pPr>
  </w:style>
  <w:style w:type="paragraph" w:styleId="ListContinue5">
    <w:name w:val="List Continue 5"/>
    <w:basedOn w:val="List5"/>
    <w:rsid w:val="00FB2E87"/>
    <w:pPr>
      <w:ind w:firstLine="0"/>
    </w:pPr>
  </w:style>
  <w:style w:type="paragraph" w:styleId="ListNumber3">
    <w:name w:val="List Number 3"/>
    <w:basedOn w:val="List3"/>
    <w:rsid w:val="00FB2E87"/>
    <w:pPr>
      <w:numPr>
        <w:numId w:val="6"/>
      </w:numPr>
    </w:pPr>
  </w:style>
  <w:style w:type="paragraph" w:styleId="ListNumber4">
    <w:name w:val="List Number 4"/>
    <w:basedOn w:val="List4"/>
    <w:rsid w:val="00FB2E87"/>
    <w:pPr>
      <w:numPr>
        <w:numId w:val="7"/>
      </w:numPr>
    </w:pPr>
  </w:style>
  <w:style w:type="paragraph" w:styleId="ListNumber5">
    <w:name w:val="List Number 5"/>
    <w:basedOn w:val="List5"/>
    <w:rsid w:val="00FB2E87"/>
    <w:pPr>
      <w:numPr>
        <w:numId w:val="8"/>
      </w:numPr>
    </w:pPr>
  </w:style>
  <w:style w:type="paragraph" w:styleId="BlockText">
    <w:name w:val="Block Text"/>
    <w:basedOn w:val="Normal"/>
    <w:rsid w:val="00FB2E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2E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2E87"/>
    <w:rPr>
      <w:sz w:val="16"/>
      <w:vertAlign w:val="superscript"/>
    </w:rPr>
  </w:style>
  <w:style w:type="character" w:customStyle="1" w:styleId="Symbols">
    <w:name w:val="Symbols"/>
    <w:basedOn w:val="DefaultParagraphFont"/>
    <w:rsid w:val="00FB2E87"/>
    <w:rPr>
      <w:rFonts w:ascii="Symbol" w:hAnsi="Symbol"/>
    </w:rPr>
  </w:style>
  <w:style w:type="character" w:customStyle="1" w:styleId="MenuOptions">
    <w:name w:val="Menu Options"/>
    <w:basedOn w:val="DefaultParagraphFont"/>
    <w:rsid w:val="00FB2E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2E87"/>
    <w:rPr>
      <w:b/>
    </w:rPr>
  </w:style>
  <w:style w:type="character" w:customStyle="1" w:styleId="Underlined">
    <w:name w:val="Underlined"/>
    <w:basedOn w:val="DefaultParagraphFont"/>
    <w:rsid w:val="00FB2E87"/>
    <w:rPr>
      <w:u w:val="single"/>
    </w:rPr>
  </w:style>
  <w:style w:type="paragraph" w:customStyle="1" w:styleId="TableBodyTextRight">
    <w:name w:val="Table Body Text Right"/>
    <w:basedOn w:val="TableBodyText"/>
    <w:rsid w:val="00FB2E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2E87"/>
    <w:rPr>
      <w:sz w:val="18"/>
    </w:rPr>
  </w:style>
  <w:style w:type="paragraph" w:customStyle="1" w:styleId="BodySmallRight">
    <w:name w:val="Body Small Right"/>
    <w:basedOn w:val="BodyTextRight"/>
    <w:rsid w:val="00FB2E87"/>
    <w:rPr>
      <w:sz w:val="18"/>
      <w:szCs w:val="18"/>
    </w:rPr>
  </w:style>
  <w:style w:type="paragraph" w:customStyle="1" w:styleId="MarginEdition">
    <w:name w:val="Margin Edition"/>
    <w:basedOn w:val="MarginNote"/>
    <w:rsid w:val="00FB2E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2E87"/>
    <w:rPr>
      <w:sz w:val="2"/>
      <w:szCs w:val="2"/>
    </w:rPr>
  </w:style>
  <w:style w:type="character" w:customStyle="1" w:styleId="Small">
    <w:name w:val="Small"/>
    <w:basedOn w:val="DefaultParagraphFont"/>
    <w:rsid w:val="00FB2E87"/>
    <w:rPr>
      <w:sz w:val="16"/>
    </w:rPr>
  </w:style>
  <w:style w:type="paragraph" w:customStyle="1" w:styleId="WideTable">
    <w:name w:val="Wide Table"/>
    <w:basedOn w:val="Normal"/>
    <w:rsid w:val="00FB2E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2E87"/>
  </w:style>
  <w:style w:type="paragraph" w:styleId="Quote">
    <w:name w:val="Quote"/>
    <w:basedOn w:val="Heading1"/>
    <w:link w:val="QuoteChar"/>
    <w:qFormat/>
    <w:rsid w:val="00FB2E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2E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2E87"/>
    <w:pPr>
      <w:pageBreakBefore/>
    </w:pPr>
  </w:style>
  <w:style w:type="paragraph" w:customStyle="1" w:styleId="Border">
    <w:name w:val="Border"/>
    <w:basedOn w:val="Normal"/>
    <w:qFormat/>
    <w:rsid w:val="00FB2E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2E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2E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2E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2E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2E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2E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2E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2E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2E87"/>
    <w:rPr>
      <w:u w:val="single"/>
    </w:rPr>
  </w:style>
  <w:style w:type="character" w:customStyle="1" w:styleId="BoldandItalics">
    <w:name w:val="Bold and Italics"/>
    <w:qFormat/>
    <w:rsid w:val="00FB2E87"/>
    <w:rPr>
      <w:b/>
      <w:i/>
      <w:u w:val="none"/>
    </w:rPr>
  </w:style>
  <w:style w:type="paragraph" w:styleId="BalloonText">
    <w:name w:val="Balloon Text"/>
    <w:basedOn w:val="Normal"/>
    <w:link w:val="BalloonTextChar"/>
    <w:rsid w:val="00FB2E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2E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2E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2E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2E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2E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2E87"/>
    <w:pPr>
      <w:spacing w:before="0" w:after="0"/>
    </w:pPr>
  </w:style>
  <w:style w:type="paragraph" w:customStyle="1" w:styleId="BodyTextBold">
    <w:name w:val="Body Text Bold"/>
    <w:basedOn w:val="BodyText"/>
    <w:qFormat/>
    <w:rsid w:val="00FB2E87"/>
    <w:rPr>
      <w:b/>
    </w:rPr>
  </w:style>
  <w:style w:type="character" w:styleId="Hyperlink">
    <w:name w:val="Hyperlink"/>
    <w:basedOn w:val="DefaultParagraphFont"/>
    <w:uiPriority w:val="99"/>
    <w:unhideWhenUsed/>
    <w:rsid w:val="00ED71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4328</Characters>
  <Application>Microsoft Office Word</Application>
  <DocSecurity>0</DocSecurity>
  <Lines>105</Lines>
  <Paragraphs>82</Paragraphs>
  <ScaleCrop>false</ScaleCrop>
  <Company>Author-it Software Corporation Ltd.</Company>
  <LinksUpToDate>false</LinksUpToDate>
  <CharactersWithSpaces>4877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MEM23109 Apply engineering mechanics principles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2023-02-03T06:46:00Z</dcterms:created>
  <dcterms:modified xsi:type="dcterms:W3CDTF">2023-02-03T06:46:00Z</dcterms:modified>
</cp:coreProperties>
</file>