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6A4" w:rsidP="00D17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MEM22017 Coordinate continuous improvement and technical development</w:t>
      </w:r>
      <w:r>
        <w:fldChar w:fldCharType="end"/>
      </w:r>
    </w:p>
    <w:p w:rsidR="00D176A4" w:rsidP="00D176A4">
      <w:pPr>
        <w:pStyle w:val="Version"/>
        <w:sectPr w:rsidSect="00E53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5AA" w:rsidP="00E535AA">
      <w:pPr>
        <w:pStyle w:val="SuperHeading"/>
      </w:pPr>
      <w:r w:rsidRPr="00E535AA">
        <w:t>MEM22017 Coordinate continuous improvement and technical development</w:t>
      </w:r>
    </w:p>
    <w:p w:rsidR="00000000" w:rsidRPr="00E535AA" w:rsidP="00E535AA">
      <w:pPr>
        <w:pStyle w:val="Heading1"/>
      </w:pPr>
      <w:bookmarkStart w:id="1" w:name="O_945620"/>
      <w:bookmarkEnd w:id="1"/>
      <w:r w:rsidRPr="00E535AA">
        <w:t>Modification History</w:t>
      </w:r>
    </w:p>
    <w:p w:rsidR="00000000" w:rsidRPr="00E535AA" w:rsidP="00D176A4">
      <w:pPr>
        <w:pStyle w:val="BodyText"/>
      </w:pPr>
      <w:r w:rsidRPr="00E535AA">
        <w:t>Release 1. Supersedes and is equivalent to MEM22017A Coordinate continuous improvement and technical development.</w:t>
      </w:r>
    </w:p>
    <w:p w:rsidR="00000000" w:rsidRPr="00E535AA" w:rsidP="00E535AA">
      <w:pPr>
        <w:pStyle w:val="Heading1"/>
      </w:pPr>
      <w:bookmarkStart w:id="2" w:name="O_945628"/>
      <w:bookmarkEnd w:id="2"/>
      <w:r w:rsidRPr="00E535AA">
        <w:t>Application</w:t>
      </w:r>
    </w:p>
    <w:p w:rsidR="00000000" w:rsidRPr="00E535AA" w:rsidP="00D176A4">
      <w:pPr>
        <w:pStyle w:val="BodyText"/>
      </w:pPr>
      <w:r w:rsidRPr="00E535AA">
        <w:t xml:space="preserve">This unit of competency defines the skills and knowledge required to coordinate and facilitate the implementation of engineering-related continuous improvement, change and technical development within organisations. </w:t>
      </w:r>
    </w:p>
    <w:p w:rsidR="00000000" w:rsidRPr="00E535AA" w:rsidP="00D176A4">
      <w:pPr>
        <w:pStyle w:val="BodyText"/>
      </w:pPr>
      <w:r w:rsidRPr="00E535AA">
        <w:t>It does not cover design or implementat</w:t>
      </w:r>
      <w:r w:rsidRPr="00E535AA">
        <w:t>ion of major change, including re-engineering or design and commissioning of new major plant. It is suitable for people working in engineering or related environments in design, maintenance or operational functions.</w:t>
      </w:r>
    </w:p>
    <w:p w:rsidR="00000000" w:rsidRPr="00E535AA" w:rsidP="00D176A4">
      <w:pPr>
        <w:pStyle w:val="BodyText"/>
      </w:pPr>
      <w:r w:rsidRPr="00E535AA">
        <w:t>No licensing, legislative or certificati</w:t>
      </w:r>
      <w:r w:rsidRPr="00E535AA">
        <w:t>on requirements apply to this unit at the time of publication.</w:t>
      </w:r>
    </w:p>
    <w:p w:rsidR="00000000" w:rsidRPr="00E535AA" w:rsidP="00E535AA">
      <w:pPr>
        <w:pStyle w:val="Heading1"/>
      </w:pPr>
      <w:bookmarkStart w:id="3" w:name="O_945627"/>
      <w:bookmarkEnd w:id="3"/>
      <w:r w:rsidRPr="00E535AA">
        <w:t>Pre-requisite Unit</w:t>
      </w:r>
    </w:p>
    <w:p w:rsidR="00000000" w:rsidRPr="00E535AA" w:rsidP="00D176A4">
      <w:pPr>
        <w:pStyle w:val="BodyText"/>
      </w:pPr>
      <w:r w:rsidRPr="00E535AA">
        <w:t>MEM16006 Organise and communicate information</w:t>
      </w:r>
    </w:p>
    <w:p w:rsidR="00000000" w:rsidRPr="00E535AA" w:rsidP="00E535AA">
      <w:pPr>
        <w:pStyle w:val="Heading1"/>
      </w:pPr>
      <w:bookmarkStart w:id="4" w:name="O_945626"/>
      <w:bookmarkEnd w:id="4"/>
      <w:r w:rsidRPr="00E535AA">
        <w:t>Competency Field</w:t>
      </w:r>
    </w:p>
    <w:p w:rsidR="00000000" w:rsidRPr="00E535AA" w:rsidP="00D176A4">
      <w:pPr>
        <w:pStyle w:val="BodyText"/>
      </w:pPr>
      <w:r w:rsidRPr="00E535AA">
        <w:t>Management and organisation</w:t>
      </w:r>
    </w:p>
    <w:p w:rsidR="00000000" w:rsidRPr="00E535AA" w:rsidP="00E535AA">
      <w:pPr>
        <w:pStyle w:val="Heading1"/>
      </w:pPr>
      <w:bookmarkStart w:id="5" w:name="O_945624"/>
      <w:bookmarkEnd w:id="5"/>
      <w:r w:rsidRPr="00E535AA">
        <w:t>Elements and Performance Criteri</w:t>
      </w:r>
      <w:r w:rsidRPr="00E535AA">
        <w:t>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176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5AA" w:rsidP="00E535AA">
            <w:pPr>
              <w:pStyle w:val="BodyText"/>
            </w:pPr>
            <w:r w:rsidRPr="00E535A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rPr>
                <w:rStyle w:val="SpecialBold"/>
              </w:rPr>
              <w:t>Performance Criteria</w:t>
            </w:r>
          </w:p>
        </w:tc>
      </w:tr>
      <w:tr w:rsidTr="00D176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5AA" w:rsidP="00E535AA">
            <w:pPr>
              <w:pStyle w:val="BodyText"/>
            </w:pPr>
            <w:r w:rsidRPr="00E535AA">
              <w:rPr>
                <w:rStyle w:val="Emphasis"/>
              </w:rPr>
              <w:t xml:space="preserve">Elements describe the </w:t>
            </w:r>
            <w:r w:rsidRPr="00E535AA">
              <w:t xml:space="preserve">essential </w:t>
            </w:r>
            <w:r w:rsidRPr="00E535A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76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1. Evaluate project or operation for improvement and technical development opportunities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5AA" w:rsidP="00E535AA">
            <w:pPr>
              <w:pStyle w:val="BodyText"/>
            </w:pPr>
            <w:r w:rsidRPr="00E535AA">
              <w:t>1.1 Follow standard operating procedures (SOPs)</w:t>
            </w:r>
          </w:p>
          <w:p w:rsidR="00000000" w:rsidRPr="00E535AA" w:rsidP="00E535AA">
            <w:pPr>
              <w:pStyle w:val="BodyText"/>
            </w:pPr>
            <w:r w:rsidRPr="00E535AA">
              <w:t>1.2 Select project or operation for review in conjunction with stakeholders</w:t>
            </w:r>
          </w:p>
          <w:p w:rsidR="00000000" w:rsidRPr="00E535AA" w:rsidP="00E535AA">
            <w:pPr>
              <w:pStyle w:val="BodyText"/>
            </w:pPr>
            <w:r w:rsidRPr="00E535AA">
              <w:t>1.3 Determine current performance against o</w:t>
            </w:r>
            <w:r w:rsidRPr="00E535AA">
              <w:t>bjectives and key performance indicators (KPIs)</w:t>
            </w:r>
          </w:p>
          <w:p w:rsidR="00000000" w:rsidRPr="00E535AA" w:rsidP="00E535AA">
            <w:pPr>
              <w:pStyle w:val="BodyText"/>
            </w:pPr>
            <w:r w:rsidRPr="00E535AA">
              <w:t xml:space="preserve">1.4 Establish and monitor processes to identify shortfalls in performance, root causes and opportunities for performance and </w:t>
            </w:r>
            <w:r w:rsidRPr="00E535AA">
              <w:t>technical improvements</w:t>
            </w:r>
          </w:p>
          <w:p w:rsidR="00000000" w:rsidRPr="00E535AA" w:rsidP="00E535AA">
            <w:pPr>
              <w:pStyle w:val="BodyText"/>
            </w:pPr>
            <w:r w:rsidRPr="00E535AA">
              <w:t>1.5 Evaluate hardware and software technology requirements f</w:t>
            </w:r>
            <w:r w:rsidRPr="00E535AA">
              <w:t>or performance improvement opportunities</w:t>
            </w:r>
          </w:p>
          <w:p w:rsidR="00000000" w:rsidRPr="00E535AA" w:rsidP="00E535AA">
            <w:pPr>
              <w:pStyle w:val="BodyText"/>
            </w:pPr>
            <w:r w:rsidRPr="00E535AA">
              <w:t>1.6 Evaluate personnel skill requirements and training needs for performance improvement opportunities</w:t>
            </w:r>
          </w:p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1.7 Confirm current or future work health and safety (WHS) requirements, codes of practice, regulations, standar</w:t>
            </w:r>
            <w:r w:rsidRPr="00E535AA">
              <w:t>ds and regulatory requirements related to possible opportunities for performance improvement</w:t>
            </w:r>
          </w:p>
        </w:tc>
      </w:tr>
      <w:tr w:rsidTr="00D176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2. Develop recommendations for performance improvement and technical development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5AA" w:rsidP="00E535AA">
            <w:pPr>
              <w:pStyle w:val="BodyText"/>
            </w:pPr>
            <w:r w:rsidRPr="00E535AA">
              <w:t>2.1 Coordinate the specification of options for performance improvement including</w:t>
            </w:r>
            <w:r w:rsidRPr="00E535AA">
              <w:t xml:space="preserve"> required technology changes, skills development needs, timelines, budget and extent of disruption to current operations</w:t>
            </w:r>
          </w:p>
          <w:p w:rsidR="00000000" w:rsidRPr="00E535AA" w:rsidP="00E535AA">
            <w:pPr>
              <w:pStyle w:val="BodyText"/>
            </w:pPr>
            <w:r w:rsidRPr="00E535AA">
              <w:t>2.2 Coordinate feasibility analyses on options and develop proposals based on outcomes</w:t>
            </w:r>
          </w:p>
          <w:p w:rsidR="00000000" w:rsidRPr="00E535AA" w:rsidP="00E535AA">
            <w:pPr>
              <w:pStyle w:val="BodyText"/>
            </w:pPr>
            <w:r w:rsidRPr="00E535AA">
              <w:t>2.3 Prepare report and recommendations including</w:t>
            </w:r>
            <w:r w:rsidRPr="00E535AA">
              <w:t xml:space="preserve"> objectives, implementation schedule, budget and any required regulatory compliance measures</w:t>
            </w:r>
          </w:p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2.4 Communicate and negotiate with stakeholders to confirm recommendations for change and technological developments</w:t>
            </w:r>
          </w:p>
        </w:tc>
      </w:tr>
      <w:tr w:rsidTr="00D176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3. Coordinate implementation of approved changes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5AA" w:rsidP="00E535AA">
            <w:pPr>
              <w:pStyle w:val="BodyText"/>
            </w:pPr>
            <w:r w:rsidRPr="00E535AA">
              <w:t>3.1 Develop implementation objectives, plan, schedule and budgets for approved changes</w:t>
            </w:r>
          </w:p>
          <w:p w:rsidR="00000000" w:rsidRPr="00E535AA" w:rsidP="00E535AA">
            <w:pPr>
              <w:pStyle w:val="BodyText"/>
            </w:pPr>
            <w:r w:rsidRPr="00E535AA">
              <w:t>3.2 Monitor implementation of objectives by priority, strategy and schedule</w:t>
            </w:r>
          </w:p>
          <w:p w:rsidR="00000000" w:rsidRPr="00E535AA" w:rsidP="00E535AA">
            <w:pPr>
              <w:pStyle w:val="BodyText"/>
            </w:pPr>
            <w:r w:rsidRPr="00E535AA">
              <w:t>3.3 Coordinate change management, process re</w:t>
            </w:r>
            <w:r w:rsidRPr="00E535AA">
              <w:t>design and introduction of technology in accordance with plan</w:t>
            </w:r>
          </w:p>
          <w:p w:rsidR="00000000" w:rsidRPr="00E535AA" w:rsidP="00E535AA">
            <w:pPr>
              <w:pStyle w:val="BodyText"/>
            </w:pPr>
            <w:r w:rsidRPr="00E535AA">
              <w:t>3.4 Manage physical and financial resources and budget within delegation</w:t>
            </w:r>
          </w:p>
          <w:p w:rsidR="00000000" w:rsidRPr="00E535AA" w:rsidP="00E535AA">
            <w:pPr>
              <w:pStyle w:val="BodyText"/>
            </w:pPr>
            <w:r w:rsidRPr="00E535AA">
              <w:t>3.5 Monitor change and technological development for compliance with organisational policies and procedures</w:t>
            </w:r>
          </w:p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3.6 Provide i</w:t>
            </w:r>
            <w:r w:rsidRPr="00E535AA">
              <w:t>nput to risk management procedures that is based on completed evaluation and planning</w:t>
            </w:r>
          </w:p>
        </w:tc>
      </w:tr>
      <w:tr w:rsidTr="00D176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4. Report outcomes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5AA" w:rsidP="00E535AA">
            <w:pPr>
              <w:pStyle w:val="BodyText"/>
            </w:pPr>
            <w:r w:rsidRPr="00E535AA">
              <w:t>4.1 Record progress and results in accordance with procedures</w:t>
            </w:r>
          </w:p>
          <w:p w:rsidR="00000000" w:rsidRPr="00E535AA" w:rsidP="00E535AA">
            <w:pPr>
              <w:pStyle w:val="BodyText"/>
            </w:pPr>
            <w:r w:rsidRPr="00E535AA">
              <w:t>4.2 Provide documentation, data entry and analysis according to project or operation req</w:t>
            </w:r>
            <w:r w:rsidRPr="00E535AA">
              <w:t>uirements</w:t>
            </w:r>
          </w:p>
        </w:tc>
      </w:tr>
    </w:tbl>
    <w:p w:rsidR="00000000" w:rsidRPr="00E535AA" w:rsidP="00E535AA">
      <w:pPr>
        <w:pStyle w:val="BodyText"/>
      </w:pPr>
    </w:p>
    <w:p w:rsidR="00000000" w:rsidRPr="00E535AA" w:rsidP="00E535AA">
      <w:pPr>
        <w:pStyle w:val="AllowPageBreak"/>
      </w:pPr>
    </w:p>
    <w:p w:rsidR="00000000" w:rsidRPr="00E535AA" w:rsidP="00E535AA">
      <w:pPr>
        <w:pStyle w:val="Heading1"/>
      </w:pPr>
      <w:bookmarkStart w:id="6" w:name="O_945623"/>
      <w:bookmarkEnd w:id="6"/>
      <w:r w:rsidRPr="00E535AA">
        <w:t>Foundation Skills</w:t>
      </w:r>
    </w:p>
    <w:p w:rsidR="00000000" w:rsidRPr="00E535AA" w:rsidP="00E535AA">
      <w:pPr>
        <w:pStyle w:val="Heading1"/>
      </w:pPr>
      <w:bookmarkStart w:id="7" w:name="O_945622"/>
      <w:bookmarkEnd w:id="7"/>
      <w:r w:rsidRPr="00E535AA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535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This field allows for different work environments and conditions that may affect performance. Essential operating conditions that may be present (depending on the work situa</w:t>
            </w:r>
            <w:r w:rsidRPr="00E535AA">
              <w:t>tion, needs of the candidate, accessibility of the item, and local industry and regional contexts) are included.</w:t>
            </w:r>
          </w:p>
        </w:tc>
      </w:tr>
      <w:tr w:rsidTr="00E535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Stakeholders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5AA" w:rsidP="00E535AA">
            <w:pPr>
              <w:pStyle w:val="ListBullet"/>
            </w:pPr>
            <w:r w:rsidRPr="00E535AA">
              <w:t>enterprise or project owners and managers</w:t>
            </w:r>
          </w:p>
          <w:p w:rsidR="00000000" w:rsidRPr="00E535AA" w:rsidP="00E535AA">
            <w:pPr>
              <w:pStyle w:val="ListBullet"/>
            </w:pPr>
            <w:r w:rsidRPr="00E535AA">
              <w:t>team members</w:t>
            </w:r>
          </w:p>
          <w:p w:rsidR="00000000" w:rsidRPr="00E535AA" w:rsidP="00E535AA">
            <w:pPr>
              <w:pStyle w:val="ListBullet"/>
            </w:pPr>
            <w:r w:rsidRPr="00E535AA">
              <w:t>support function groups</w:t>
            </w:r>
          </w:p>
          <w:p w:rsidR="00000000" w:rsidRPr="00E535AA" w:rsidP="00E535AA">
            <w:pPr>
              <w:pStyle w:val="ListBullet"/>
            </w:pPr>
            <w:r w:rsidRPr="00E535AA">
              <w:t>expert technical and professional assistance</w:t>
            </w:r>
          </w:p>
          <w:p w:rsidR="00000000" w:rsidRPr="00E535AA" w:rsidP="00E535AA">
            <w:pPr>
              <w:pStyle w:val="ListBullet"/>
            </w:pPr>
            <w:r w:rsidRPr="00E535AA">
              <w:t>customers and suppliers</w:t>
            </w:r>
          </w:p>
          <w:p w:rsidR="00000000" w:rsidP="00E535AA">
            <w:pPr>
              <w:pStyle w:val="ListBullet"/>
              <w:rPr>
                <w:lang w:val="en-NZ"/>
              </w:rPr>
            </w:pPr>
            <w:r w:rsidRPr="00E535AA">
              <w:t>colleagues identified in reporting arrangements for the engineering project or operation.</w:t>
            </w:r>
          </w:p>
        </w:tc>
      </w:tr>
      <w:tr w:rsidTr="00E535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Constraints and contingencies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5AA" w:rsidP="00E535AA">
            <w:pPr>
              <w:pStyle w:val="ListBullet"/>
            </w:pPr>
            <w:r w:rsidRPr="00E535AA">
              <w:t>financial, organisational, procedural or cultural constr</w:t>
            </w:r>
            <w:r w:rsidRPr="00E535AA">
              <w:t>aints</w:t>
            </w:r>
          </w:p>
          <w:p w:rsidR="00000000" w:rsidP="00E535AA">
            <w:pPr>
              <w:pStyle w:val="ListBullet"/>
              <w:rPr>
                <w:lang w:val="en-NZ"/>
              </w:rPr>
            </w:pPr>
            <w:r w:rsidRPr="00E535AA">
              <w:t>physical constraints including limits to resources, site access or logistical limitations.</w:t>
            </w:r>
          </w:p>
        </w:tc>
      </w:tr>
      <w:tr w:rsidTr="00E535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Organisational policies and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5AA" w:rsidP="00E535AA">
            <w:pPr>
              <w:pStyle w:val="ListBullet"/>
            </w:pPr>
            <w:r w:rsidRPr="00E535AA">
              <w:t>enterprise agreements and awards</w:t>
            </w:r>
          </w:p>
          <w:p w:rsidR="00000000" w:rsidRPr="00E535AA" w:rsidP="00E535AA">
            <w:pPr>
              <w:pStyle w:val="ListBullet"/>
            </w:pPr>
            <w:r w:rsidRPr="00E535AA">
              <w:t xml:space="preserve">work health and safety (WHS) requirements </w:t>
            </w:r>
          </w:p>
          <w:p w:rsidR="00000000" w:rsidRPr="00E535AA" w:rsidP="00E535AA">
            <w:pPr>
              <w:pStyle w:val="ListBullet"/>
            </w:pPr>
            <w:r w:rsidRPr="00E535AA">
              <w:t>codes of practice and other legislative requirements</w:t>
            </w:r>
          </w:p>
          <w:p w:rsidR="00000000" w:rsidRPr="00E535AA" w:rsidP="00E535AA">
            <w:pPr>
              <w:pStyle w:val="ListBullet"/>
            </w:pPr>
            <w:r w:rsidRPr="00E535AA">
              <w:t>environmental and social obligations</w:t>
            </w:r>
          </w:p>
          <w:p w:rsidR="00000000" w:rsidP="00E535AA">
            <w:pPr>
              <w:pStyle w:val="ListBullet"/>
              <w:rPr>
                <w:lang w:val="en-NZ"/>
              </w:rPr>
            </w:pPr>
            <w:r w:rsidRPr="00E535AA">
              <w:t>ethical practice.</w:t>
            </w:r>
          </w:p>
        </w:tc>
      </w:tr>
      <w:tr w:rsidTr="00E535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WHS, regulatory requirements and enterprise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5AA" w:rsidP="00E535AA">
            <w:pPr>
              <w:pStyle w:val="ListBullet"/>
            </w:pPr>
            <w:r w:rsidRPr="00E535AA">
              <w:t>WHS acts, regulations and relevant standards</w:t>
            </w:r>
          </w:p>
          <w:p w:rsidR="00000000" w:rsidRPr="00E535AA" w:rsidP="00E535AA">
            <w:pPr>
              <w:pStyle w:val="ListBullet"/>
            </w:pPr>
            <w:r w:rsidRPr="00E535AA">
              <w:t>codes of practice from Australian and</w:t>
            </w:r>
            <w:r w:rsidRPr="00E535AA">
              <w:t xml:space="preserve"> overseas engineering and technical associations and societies</w:t>
            </w:r>
          </w:p>
          <w:p w:rsidR="00000000" w:rsidRPr="00E535AA" w:rsidP="00E535AA">
            <w:pPr>
              <w:pStyle w:val="ListBullet"/>
            </w:pPr>
            <w:r w:rsidRPr="00E535AA">
              <w:t>risk assessments</w:t>
            </w:r>
          </w:p>
          <w:p w:rsidR="00000000" w:rsidRPr="00E535AA" w:rsidP="00E535AA">
            <w:pPr>
              <w:pStyle w:val="ListBullet"/>
            </w:pPr>
            <w:r w:rsidRPr="00E535AA">
              <w:t xml:space="preserve">registration requirements </w:t>
            </w:r>
          </w:p>
          <w:p w:rsidR="00000000" w:rsidRPr="00E535AA" w:rsidP="00E535AA">
            <w:pPr>
              <w:pStyle w:val="ListBullet"/>
            </w:pPr>
            <w:r w:rsidRPr="00E535AA">
              <w:t>safe work practices</w:t>
            </w:r>
          </w:p>
          <w:p w:rsidR="00000000" w:rsidP="00E535AA">
            <w:pPr>
              <w:pStyle w:val="ListBullet"/>
              <w:rPr>
                <w:lang w:val="en-NZ"/>
              </w:rPr>
            </w:pPr>
            <w:r w:rsidRPr="00E535AA">
              <w:t>state and territory regulatory requirements.</w:t>
            </w:r>
          </w:p>
        </w:tc>
      </w:tr>
      <w:tr w:rsidTr="00E535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Continuous improvement implementation includes one or more of the following techniques: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5AA" w:rsidP="00E535AA">
            <w:pPr>
              <w:pStyle w:val="ListBullet"/>
            </w:pPr>
            <w:r w:rsidRPr="00E535AA">
              <w:t xml:space="preserve">balanced scorecard </w:t>
            </w:r>
          </w:p>
          <w:p w:rsidR="00000000" w:rsidRPr="00E535AA" w:rsidP="00E535AA">
            <w:pPr>
              <w:pStyle w:val="ListBullet"/>
            </w:pPr>
            <w:r w:rsidRPr="00E535AA">
              <w:t>current and future state mapping</w:t>
            </w:r>
          </w:p>
          <w:p w:rsidR="00000000" w:rsidRPr="00E535AA" w:rsidP="00E535AA">
            <w:pPr>
              <w:pStyle w:val="ListBullet"/>
            </w:pPr>
            <w:r w:rsidRPr="00E535AA">
              <w:t>measuring performance against benchmarks</w:t>
            </w:r>
          </w:p>
          <w:p w:rsidR="00000000" w:rsidRPr="00E535AA" w:rsidP="00E535AA">
            <w:pPr>
              <w:pStyle w:val="ListBullet"/>
            </w:pPr>
            <w:r w:rsidRPr="00E535AA">
              <w:t>process improvement, problem-solving and decision-making</w:t>
            </w:r>
          </w:p>
          <w:p w:rsidR="00000000" w:rsidRPr="00E535AA" w:rsidP="00E535AA">
            <w:pPr>
              <w:pStyle w:val="ListBullet"/>
            </w:pPr>
            <w:r w:rsidRPr="00E535AA">
              <w:t>data management,</w:t>
            </w:r>
            <w:r w:rsidRPr="00E535AA">
              <w:t xml:space="preserve"> generation, recording, analysing, storing and use of software</w:t>
            </w:r>
          </w:p>
          <w:p w:rsidR="00000000" w:rsidRPr="00E535AA" w:rsidP="00E535AA">
            <w:pPr>
              <w:pStyle w:val="ListBullet"/>
            </w:pPr>
            <w:r w:rsidRPr="00E535AA">
              <w:t>training for improvement systems participation</w:t>
            </w:r>
          </w:p>
          <w:p w:rsidR="00000000" w:rsidP="00E535AA">
            <w:pPr>
              <w:pStyle w:val="ListBullet"/>
              <w:rPr>
                <w:lang w:val="en-NZ"/>
              </w:rPr>
            </w:pPr>
            <w:r w:rsidRPr="00E535AA">
              <w:t>technical training.</w:t>
            </w:r>
          </w:p>
        </w:tc>
      </w:tr>
      <w:tr w:rsidTr="00E535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5AA">
            <w:pPr>
              <w:pStyle w:val="BodyText"/>
              <w:rPr>
                <w:lang w:val="en-NZ"/>
              </w:rPr>
            </w:pPr>
            <w:r w:rsidRPr="00E535AA">
              <w:t>Sustainability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5AA" w:rsidP="00E535AA">
            <w:pPr>
              <w:pStyle w:val="ListBullet"/>
            </w:pPr>
            <w:r w:rsidRPr="00E535AA">
              <w:t>meeting all regulatory requirements</w:t>
            </w:r>
          </w:p>
          <w:p w:rsidR="00000000" w:rsidRPr="00E535AA" w:rsidP="00E535AA">
            <w:pPr>
              <w:pStyle w:val="ListBullet"/>
            </w:pPr>
            <w:r w:rsidRPr="00E535AA">
              <w:t>conforming to all industry covenants, protocols and best practi</w:t>
            </w:r>
            <w:r w:rsidRPr="00E535AA">
              <w:t>ce guides</w:t>
            </w:r>
          </w:p>
          <w:p w:rsidR="00000000" w:rsidRPr="00E535AA" w:rsidP="00E535AA">
            <w:pPr>
              <w:pStyle w:val="ListBullet"/>
            </w:pPr>
            <w:r w:rsidRPr="00E535AA">
              <w:t>minimising ecological and environmental footprint of process, plant and product</w:t>
            </w:r>
          </w:p>
          <w:p w:rsidR="00000000" w:rsidRPr="00E535AA" w:rsidP="00E535AA">
            <w:pPr>
              <w:pStyle w:val="ListBullet"/>
            </w:pPr>
            <w:r w:rsidRPr="00E535AA">
              <w:t>maximising economic benefit of process plant and product to the organisation and the community</w:t>
            </w:r>
          </w:p>
          <w:p w:rsidR="00000000" w:rsidRPr="00E535AA" w:rsidP="00E535AA">
            <w:pPr>
              <w:pStyle w:val="ListBullet"/>
            </w:pPr>
            <w:r w:rsidRPr="00E535AA">
              <w:t>minimising the negative WHS impact on employees, community and customer</w:t>
            </w:r>
            <w:r w:rsidRPr="00E535AA">
              <w:t>.</w:t>
            </w:r>
          </w:p>
        </w:tc>
      </w:tr>
    </w:tbl>
    <w:p w:rsidR="00000000" w:rsidRPr="00E535AA" w:rsidP="00E535AA">
      <w:pPr>
        <w:pStyle w:val="BodyText"/>
      </w:pPr>
    </w:p>
    <w:p w:rsidR="00000000" w:rsidRPr="00E535AA" w:rsidP="00E535AA">
      <w:pPr>
        <w:pStyle w:val="AllowPageBreak"/>
      </w:pPr>
    </w:p>
    <w:p w:rsidR="00000000" w:rsidRPr="00E535AA" w:rsidP="00E535AA">
      <w:pPr>
        <w:pStyle w:val="Heading1"/>
      </w:pPr>
      <w:bookmarkStart w:id="8" w:name="O_945621"/>
      <w:bookmarkEnd w:id="8"/>
      <w:r w:rsidRPr="00E535AA">
        <w:t>Unit Mapping Information</w:t>
      </w:r>
    </w:p>
    <w:p w:rsidR="00000000" w:rsidRPr="00E535AA" w:rsidP="00D176A4">
      <w:pPr>
        <w:pStyle w:val="BodyText"/>
      </w:pPr>
      <w:r w:rsidRPr="00E535AA">
        <w:t>Release 1. Supersedes and is equivalent to MEM22017A Coordinate continuous improvement and technical development.</w:t>
      </w:r>
    </w:p>
    <w:p w:rsidR="00000000" w:rsidRPr="00E535AA" w:rsidP="00E535AA">
      <w:pPr>
        <w:pStyle w:val="Heading1"/>
      </w:pPr>
      <w:bookmarkStart w:id="9" w:name="O_945614"/>
      <w:bookmarkEnd w:id="9"/>
      <w:r w:rsidRPr="00E535AA">
        <w:t>Links</w:t>
      </w:r>
    </w:p>
    <w:p w:rsidR="00000000" w:rsidRPr="00E535AA" w:rsidP="00D176A4">
      <w:pPr>
        <w:pStyle w:val="BodyText"/>
      </w:pPr>
      <w:r w:rsidRPr="00E535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1027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535AA" w:rsidP="00E535AA"/>
    <w:sectPr w:rsidSect="00E535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5AA" w:rsidRPr="00D176A4" w:rsidP="00D17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A4" w:rsidP="00E53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6A4" w:rsidP="00E53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76A4" w:rsidP="00E53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5AA" w:rsidRPr="00D176A4" w:rsidP="00D17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A4" w:rsidRPr="002D2AF8" w:rsidP="00E53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MEM22017 Coordinate continuous improvement and technical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176A4" w:rsidP="00E53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B03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CC5A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5AA"/>
  </w:style>
  <w:style w:type="character" w:customStyle="1" w:styleId="Heading1Char">
    <w:name w:val="Heading 1 Char"/>
    <w:basedOn w:val="DefaultParagraphFont"/>
    <w:link w:val="Heading1"/>
    <w:rsid w:val="00E53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5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5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5AA"/>
    <w:rPr>
      <w:b/>
      <w:spacing w:val="0"/>
    </w:rPr>
  </w:style>
  <w:style w:type="character" w:styleId="Emphasis">
    <w:name w:val="Emphasis"/>
    <w:basedOn w:val="DefaultParagraphFont"/>
    <w:qFormat/>
    <w:rsid w:val="00E535AA"/>
    <w:rPr>
      <w:i/>
    </w:rPr>
  </w:style>
  <w:style w:type="paragraph" w:customStyle="1" w:styleId="SuperHeading">
    <w:name w:val="SuperHeading"/>
    <w:basedOn w:val="Normal"/>
    <w:rsid w:val="00E53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5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5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5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5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3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5AA"/>
  </w:style>
  <w:style w:type="paragraph" w:styleId="TableofFigures">
    <w:name w:val="table of figures"/>
    <w:basedOn w:val="Normal"/>
    <w:next w:val="Normal"/>
    <w:semiHidden/>
    <w:rsid w:val="00E53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5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5AA"/>
    <w:rPr>
      <w:rFonts w:ascii="Wingdings" w:hAnsi="Wingdings"/>
    </w:rPr>
  </w:style>
  <w:style w:type="paragraph" w:customStyle="1" w:styleId="TableHeading">
    <w:name w:val="Table Heading"/>
    <w:basedOn w:val="HeadingBase"/>
    <w:rsid w:val="00E53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5AA"/>
    <w:rPr>
      <w:color w:val="0033CC"/>
      <w:u w:val="none"/>
    </w:rPr>
  </w:style>
  <w:style w:type="paragraph" w:customStyle="1" w:styleId="BodyTextRight">
    <w:name w:val="Body Text Right"/>
    <w:basedOn w:val="BodyText"/>
    <w:rsid w:val="00E53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5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5AA"/>
    <w:rPr>
      <w:sz w:val="32"/>
    </w:rPr>
  </w:style>
  <w:style w:type="paragraph" w:customStyle="1" w:styleId="HeadingProcedure">
    <w:name w:val="Heading Procedure"/>
    <w:basedOn w:val="HeadingBase"/>
    <w:next w:val="Normal"/>
    <w:rsid w:val="00E53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5AA"/>
    <w:pPr>
      <w:spacing w:before="60" w:after="60"/>
    </w:pPr>
  </w:style>
  <w:style w:type="paragraph" w:styleId="ListContinue">
    <w:name w:val="List Continue"/>
    <w:basedOn w:val="List"/>
    <w:rsid w:val="00E535AA"/>
    <w:pPr>
      <w:ind w:firstLine="0"/>
    </w:pPr>
  </w:style>
  <w:style w:type="paragraph" w:customStyle="1" w:styleId="ListNote">
    <w:name w:val="List Note"/>
    <w:basedOn w:val="List"/>
    <w:rsid w:val="00E53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5AA"/>
    <w:rPr>
      <w:rFonts w:ascii="Courier New" w:hAnsi="Courier New"/>
    </w:rPr>
  </w:style>
  <w:style w:type="paragraph" w:customStyle="1" w:styleId="NoteBullet">
    <w:name w:val="Note Bullet"/>
    <w:basedOn w:val="Note"/>
    <w:rsid w:val="00E53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5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5AA"/>
    <w:rPr>
      <w:b/>
      <w:smallCaps/>
    </w:rPr>
  </w:style>
  <w:style w:type="paragraph" w:customStyle="1" w:styleId="TableListNumber">
    <w:name w:val="Table List Number"/>
    <w:basedOn w:val="ListNumber"/>
    <w:rsid w:val="00E53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5AA"/>
    <w:pPr>
      <w:numPr>
        <w:numId w:val="8"/>
      </w:numPr>
    </w:pPr>
  </w:style>
  <w:style w:type="paragraph" w:customStyle="1" w:styleId="ListAlpha2">
    <w:name w:val="List Alpha 2"/>
    <w:basedOn w:val="List2"/>
    <w:rsid w:val="00E535AA"/>
    <w:pPr>
      <w:numPr>
        <w:numId w:val="7"/>
      </w:numPr>
    </w:pPr>
  </w:style>
  <w:style w:type="paragraph" w:styleId="List2">
    <w:name w:val="List 2"/>
    <w:basedOn w:val="BodyText"/>
    <w:rsid w:val="00E53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5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5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5AA"/>
    <w:pPr>
      <w:numPr>
        <w:numId w:val="3"/>
      </w:numPr>
    </w:pPr>
  </w:style>
  <w:style w:type="paragraph" w:styleId="ListContinue2">
    <w:name w:val="List Continue 2"/>
    <w:basedOn w:val="List2"/>
    <w:rsid w:val="00E535AA"/>
    <w:pPr>
      <w:ind w:firstLine="0"/>
    </w:pPr>
  </w:style>
  <w:style w:type="paragraph" w:styleId="ListContinue3">
    <w:name w:val="List Continue 3"/>
    <w:basedOn w:val="List3"/>
    <w:rsid w:val="00E535AA"/>
    <w:pPr>
      <w:ind w:left="1021" w:firstLine="0"/>
    </w:pPr>
  </w:style>
  <w:style w:type="paragraph" w:styleId="ListContinue4">
    <w:name w:val="List Continue 4"/>
    <w:basedOn w:val="List4"/>
    <w:rsid w:val="00E535AA"/>
    <w:pPr>
      <w:ind w:firstLine="0"/>
    </w:pPr>
  </w:style>
  <w:style w:type="paragraph" w:styleId="ListContinue5">
    <w:name w:val="List Continue 5"/>
    <w:basedOn w:val="List5"/>
    <w:rsid w:val="00E535AA"/>
    <w:pPr>
      <w:ind w:firstLine="0"/>
    </w:pPr>
  </w:style>
  <w:style w:type="paragraph" w:styleId="ListNumber3">
    <w:name w:val="List Number 3"/>
    <w:basedOn w:val="List3"/>
    <w:rsid w:val="00E535AA"/>
    <w:pPr>
      <w:numPr>
        <w:numId w:val="4"/>
      </w:numPr>
    </w:pPr>
  </w:style>
  <w:style w:type="paragraph" w:styleId="ListNumber4">
    <w:name w:val="List Number 4"/>
    <w:basedOn w:val="List4"/>
    <w:rsid w:val="00E535AA"/>
    <w:pPr>
      <w:numPr>
        <w:numId w:val="5"/>
      </w:numPr>
    </w:pPr>
  </w:style>
  <w:style w:type="paragraph" w:styleId="ListNumber5">
    <w:name w:val="List Number 5"/>
    <w:basedOn w:val="List5"/>
    <w:rsid w:val="00E535AA"/>
    <w:pPr>
      <w:numPr>
        <w:numId w:val="6"/>
      </w:numPr>
    </w:pPr>
  </w:style>
  <w:style w:type="paragraph" w:styleId="BlockText">
    <w:name w:val="Block Text"/>
    <w:basedOn w:val="Normal"/>
    <w:rsid w:val="00E53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5AA"/>
    <w:rPr>
      <w:sz w:val="16"/>
      <w:vertAlign w:val="superscript"/>
    </w:rPr>
  </w:style>
  <w:style w:type="character" w:customStyle="1" w:styleId="Symbols">
    <w:name w:val="Symbols"/>
    <w:basedOn w:val="DefaultParagraphFont"/>
    <w:rsid w:val="00E535AA"/>
    <w:rPr>
      <w:rFonts w:ascii="Symbol" w:hAnsi="Symbol"/>
    </w:rPr>
  </w:style>
  <w:style w:type="character" w:customStyle="1" w:styleId="MenuOptions">
    <w:name w:val="Menu Options"/>
    <w:basedOn w:val="DefaultParagraphFont"/>
    <w:rsid w:val="00E53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5AA"/>
    <w:rPr>
      <w:b/>
    </w:rPr>
  </w:style>
  <w:style w:type="character" w:customStyle="1" w:styleId="Underlined">
    <w:name w:val="Underlined"/>
    <w:basedOn w:val="DefaultParagraphFont"/>
    <w:rsid w:val="00E535AA"/>
    <w:rPr>
      <w:u w:val="single"/>
    </w:rPr>
  </w:style>
  <w:style w:type="paragraph" w:customStyle="1" w:styleId="TableBodyTextRight">
    <w:name w:val="Table Body Text Right"/>
    <w:basedOn w:val="TableBodyText"/>
    <w:rsid w:val="00E53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5AA"/>
    <w:rPr>
      <w:sz w:val="18"/>
    </w:rPr>
  </w:style>
  <w:style w:type="paragraph" w:customStyle="1" w:styleId="BodySmallRight">
    <w:name w:val="Body Small Right"/>
    <w:basedOn w:val="BodyTextRight"/>
    <w:rsid w:val="00E535AA"/>
    <w:rPr>
      <w:sz w:val="18"/>
      <w:szCs w:val="18"/>
    </w:rPr>
  </w:style>
  <w:style w:type="paragraph" w:customStyle="1" w:styleId="MarginEdition">
    <w:name w:val="Margin Edition"/>
    <w:basedOn w:val="MarginNote"/>
    <w:rsid w:val="00E53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5AA"/>
    <w:rPr>
      <w:sz w:val="2"/>
      <w:szCs w:val="2"/>
    </w:rPr>
  </w:style>
  <w:style w:type="character" w:customStyle="1" w:styleId="Small">
    <w:name w:val="Small"/>
    <w:basedOn w:val="DefaultParagraphFont"/>
    <w:rsid w:val="00E535AA"/>
    <w:rPr>
      <w:sz w:val="16"/>
    </w:rPr>
  </w:style>
  <w:style w:type="paragraph" w:customStyle="1" w:styleId="WideTable">
    <w:name w:val="Wide Table"/>
    <w:basedOn w:val="Normal"/>
    <w:rsid w:val="00E53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5AA"/>
  </w:style>
  <w:style w:type="paragraph" w:styleId="Quote">
    <w:name w:val="Quote"/>
    <w:basedOn w:val="Heading1"/>
    <w:link w:val="QuoteChar"/>
    <w:qFormat/>
    <w:rsid w:val="00E53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5AA"/>
    <w:pPr>
      <w:pageBreakBefore/>
    </w:pPr>
  </w:style>
  <w:style w:type="paragraph" w:customStyle="1" w:styleId="Border">
    <w:name w:val="Border"/>
    <w:basedOn w:val="Normal"/>
    <w:qFormat/>
    <w:rsid w:val="00E53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5AA"/>
    <w:rPr>
      <w:u w:val="single"/>
    </w:rPr>
  </w:style>
  <w:style w:type="character" w:customStyle="1" w:styleId="BoldandItalics">
    <w:name w:val="Bold and Italics"/>
    <w:qFormat/>
    <w:rsid w:val="00E535AA"/>
    <w:rPr>
      <w:b/>
      <w:i/>
      <w:u w:val="none"/>
    </w:rPr>
  </w:style>
  <w:style w:type="paragraph" w:styleId="BalloonText">
    <w:name w:val="Balloon Text"/>
    <w:basedOn w:val="Normal"/>
    <w:link w:val="BalloonTextChar"/>
    <w:rsid w:val="00E53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5AA"/>
    <w:pPr>
      <w:spacing w:before="0" w:after="0"/>
    </w:pPr>
  </w:style>
  <w:style w:type="paragraph" w:customStyle="1" w:styleId="BodyTextBold">
    <w:name w:val="Body Text Bold"/>
    <w:basedOn w:val="BodyText"/>
    <w:qFormat/>
    <w:rsid w:val="00E535AA"/>
    <w:rPr>
      <w:b/>
    </w:rPr>
  </w:style>
  <w:style w:type="character" w:styleId="Hyperlink">
    <w:name w:val="Hyperlink"/>
    <w:basedOn w:val="DefaultParagraphFont"/>
    <w:uiPriority w:val="99"/>
    <w:unhideWhenUsed/>
    <w:rsid w:val="00D17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5304</Characters>
  <Application>Microsoft Office Word</Application>
  <DocSecurity>0</DocSecurity>
  <Lines>165</Lines>
  <Paragraphs>99</Paragraphs>
  <ScaleCrop>false</ScaleCrop>
  <Company>Author-it Software Corporation Ltd.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MEM22017 Coordinate continuous improvement and technical development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2023-02-03T07:26:00Z</dcterms:created>
  <dcterms:modified xsi:type="dcterms:W3CDTF">2023-02-03T07:26:00Z</dcterms:modified>
</cp:coreProperties>
</file>