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87E" w:rsidP="00123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MEM22015 Source and estimate engineering materials requirements</w:t>
      </w:r>
      <w:r>
        <w:fldChar w:fldCharType="end"/>
      </w:r>
    </w:p>
    <w:p w:rsidR="0012387E" w:rsidP="0012387E">
      <w:pPr>
        <w:pStyle w:val="Version"/>
        <w:sectPr w:rsidSect="00A54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DC1" w:rsidP="00A54DC1">
      <w:pPr>
        <w:pStyle w:val="SuperHeading"/>
      </w:pPr>
      <w:r w:rsidRPr="00A54DC1">
        <w:t>Assessment Requirements for MEM22015 Source and estimate engineering materials requirements</w:t>
      </w:r>
    </w:p>
    <w:p w:rsidR="00000000" w:rsidRPr="00A54DC1" w:rsidP="00A54DC1">
      <w:pPr>
        <w:pStyle w:val="Heading1"/>
      </w:pPr>
      <w:bookmarkStart w:id="1" w:name="O_945597"/>
      <w:bookmarkEnd w:id="1"/>
      <w:r w:rsidRPr="00A54DC1">
        <w:t>Modification History</w:t>
      </w:r>
    </w:p>
    <w:p w:rsidR="00000000" w:rsidRPr="00A54DC1" w:rsidP="0012387E">
      <w:pPr>
        <w:pStyle w:val="BodyText"/>
      </w:pPr>
      <w:r w:rsidRPr="00A54DC1">
        <w:t>Release 1. Supersedes and is equivalent to MEM22015A Source and estimate engineering materials requirements.</w:t>
      </w:r>
    </w:p>
    <w:p w:rsidR="00000000" w:rsidRPr="00A54DC1" w:rsidP="00A54DC1">
      <w:pPr>
        <w:pStyle w:val="Heading1"/>
      </w:pPr>
      <w:bookmarkStart w:id="2" w:name="O_945600"/>
      <w:bookmarkEnd w:id="2"/>
      <w:r w:rsidRPr="00A54DC1">
        <w:t>Performance Evidence</w:t>
      </w:r>
    </w:p>
    <w:p w:rsidR="00000000" w:rsidRPr="00A54DC1" w:rsidP="0012387E">
      <w:pPr>
        <w:pStyle w:val="BodyText"/>
      </w:pPr>
      <w:r w:rsidRPr="00A54DC1">
        <w:t>Evidence required to demonstrate competence in this unit must be relevant to and satisfy the requirements of the elements and performance criteria and include:</w:t>
      </w:r>
    </w:p>
    <w:p w:rsidR="00000000" w:rsidRPr="00A54DC1" w:rsidP="00A54DC1">
      <w:pPr>
        <w:pStyle w:val="ListBullet"/>
      </w:pPr>
      <w:r w:rsidRPr="00A54DC1">
        <w:t>following work instructions, standard operating procedures (SOPs) and safe</w:t>
      </w:r>
      <w:r w:rsidRPr="00A54DC1">
        <w:t xml:space="preserve"> work practices</w:t>
      </w:r>
    </w:p>
    <w:p w:rsidR="00000000" w:rsidRPr="00A54DC1" w:rsidP="00A54DC1">
      <w:pPr>
        <w:pStyle w:val="ListBullet"/>
      </w:pPr>
      <w:r w:rsidRPr="00A54DC1">
        <w:t>planning for materials resourcing</w:t>
      </w:r>
    </w:p>
    <w:p w:rsidR="00000000" w:rsidRPr="00A54DC1" w:rsidP="00A54DC1">
      <w:pPr>
        <w:pStyle w:val="ListBullet"/>
      </w:pPr>
      <w:r w:rsidRPr="00A54DC1">
        <w:t>estimating quantities, sourcing and evaluating materials suppliers on at least two occasions</w:t>
      </w:r>
    </w:p>
    <w:p w:rsidR="00000000" w:rsidRPr="00A54DC1" w:rsidP="00A54DC1">
      <w:pPr>
        <w:pStyle w:val="ListBullet"/>
      </w:pPr>
      <w:r w:rsidRPr="00A54DC1">
        <w:t xml:space="preserve">developing tender and contract documents, materials requirement and purchasing schedule, purchasing budgets, and </w:t>
      </w:r>
      <w:r w:rsidRPr="00A54DC1">
        <w:t>performance indices for materials supply chain on at least two occasions</w:t>
      </w:r>
    </w:p>
    <w:p w:rsidR="00000000" w:rsidRPr="00A54DC1" w:rsidP="00A54DC1">
      <w:pPr>
        <w:pStyle w:val="ListBullet"/>
      </w:pPr>
      <w:r w:rsidRPr="00A54DC1">
        <w:t>using materials sourcing and planning software packages on at least two occasions</w:t>
      </w:r>
    </w:p>
    <w:p w:rsidR="00000000" w:rsidRPr="00A54DC1" w:rsidP="00A54DC1">
      <w:pPr>
        <w:pStyle w:val="ListBullet"/>
      </w:pPr>
      <w:r w:rsidRPr="00A54DC1">
        <w:t>participating, communicating, cooperating, and negotiating with stakeholders on policy and procedures</w:t>
      </w:r>
      <w:r w:rsidRPr="00A54DC1">
        <w:t xml:space="preserve"> development and implementation</w:t>
      </w:r>
    </w:p>
    <w:p w:rsidR="00000000" w:rsidRPr="00A54DC1" w:rsidP="00A54DC1">
      <w:pPr>
        <w:pStyle w:val="ListBullet"/>
      </w:pPr>
      <w:r w:rsidRPr="00A54DC1">
        <w:t>monitoring supply of materials against contract requirements and key performance indicators (KPIs)</w:t>
      </w:r>
    </w:p>
    <w:p w:rsidR="00000000" w:rsidRPr="00A54DC1" w:rsidP="00A54DC1">
      <w:pPr>
        <w:pStyle w:val="ListBullet"/>
      </w:pPr>
      <w:r w:rsidRPr="00A54DC1">
        <w:t>contributing to organisational management processes, and materials supply chain management</w:t>
      </w:r>
    </w:p>
    <w:p w:rsidR="00000000" w:rsidRPr="00A54DC1" w:rsidP="00A54DC1">
      <w:pPr>
        <w:pStyle w:val="ListBullet"/>
      </w:pPr>
      <w:r w:rsidRPr="00A54DC1">
        <w:t xml:space="preserve">reporting and documenting results </w:t>
      </w:r>
      <w:r w:rsidRPr="00A54DC1">
        <w:t>of evaluations and tender analysis and material sourcing in accordance with standard operating procedures (SOPs).</w:t>
      </w:r>
    </w:p>
    <w:p w:rsidR="00000000" w:rsidRPr="0012387E" w:rsidP="0012387E">
      <w:pPr>
        <w:pStyle w:val="BodyText"/>
        <w:rPr>
          <w:i/>
        </w:rPr>
      </w:pPr>
      <w:r w:rsidRPr="0012387E">
        <w:rPr>
          <w:rStyle w:val="Emphasis"/>
        </w:rPr>
        <w:t>Note: Where a volume and/or frequency is not specified, demonstration must be provided at least once.</w:t>
      </w:r>
    </w:p>
    <w:p w:rsidR="00000000" w:rsidRPr="00A54DC1" w:rsidP="00A54DC1">
      <w:pPr>
        <w:pStyle w:val="Heading1"/>
      </w:pPr>
      <w:bookmarkStart w:id="3" w:name="O_945599"/>
      <w:bookmarkEnd w:id="3"/>
      <w:r w:rsidRPr="00A54DC1">
        <w:t>Knowledge Evidence</w:t>
      </w:r>
    </w:p>
    <w:p w:rsidR="00000000" w:rsidRPr="00A54DC1" w:rsidP="0012387E">
      <w:pPr>
        <w:pStyle w:val="BodyText"/>
      </w:pPr>
      <w:r w:rsidRPr="00A54DC1">
        <w:t>Evid</w:t>
      </w:r>
      <w:r w:rsidRPr="00A54DC1">
        <w:t>ence required to demonstrate the required knowledge for this unit must be relevant to and satisfy the requirements of the elements and performance criteria and include knowledge of:</w:t>
      </w:r>
    </w:p>
    <w:p w:rsidR="00000000" w:rsidRPr="00A54DC1" w:rsidP="00A54DC1">
      <w:pPr>
        <w:pStyle w:val="ListBullet"/>
      </w:pPr>
      <w:r w:rsidRPr="00A54DC1">
        <w:t>safe work practices and procedures</w:t>
      </w:r>
    </w:p>
    <w:p w:rsidR="00000000" w:rsidRPr="00A54DC1" w:rsidP="00A54DC1">
      <w:pPr>
        <w:pStyle w:val="ListBullet"/>
      </w:pPr>
      <w:r w:rsidRPr="00A54DC1">
        <w:t>planning procedures for materials reso</w:t>
      </w:r>
      <w:r w:rsidRPr="00A54DC1">
        <w:t>urcing in the context of operations, project, strategic and business plans and budgets</w:t>
      </w:r>
    </w:p>
    <w:p w:rsidR="00000000" w:rsidRPr="00A54DC1" w:rsidP="00A54DC1">
      <w:pPr>
        <w:pStyle w:val="ListBullet"/>
      </w:pPr>
      <w:r w:rsidRPr="00A54DC1">
        <w:t>use of systems and software packages to assess materials requirements information, data processing, bill of materials, estimating, supplier database and purchasing budge</w:t>
      </w:r>
      <w:r w:rsidRPr="00A54DC1">
        <w:t>t control</w:t>
      </w:r>
    </w:p>
    <w:p w:rsidR="00000000" w:rsidRPr="00A54DC1" w:rsidP="00A54DC1">
      <w:pPr>
        <w:pStyle w:val="ListBullet"/>
      </w:pPr>
      <w:r w:rsidRPr="00A54DC1">
        <w:t>systems for cost estimation and planning, value engineering, feasibility studies, cost-benefit analysis, life cycle costing and valuation</w:t>
      </w:r>
    </w:p>
    <w:p w:rsidR="00000000" w:rsidRPr="00A54DC1" w:rsidP="00A54DC1">
      <w:pPr>
        <w:pStyle w:val="ListBullet"/>
      </w:pPr>
      <w:r w:rsidRPr="00A54DC1">
        <w:t>supply chain management and value analysis, performance indices or parameters, and monitoring processes</w:t>
      </w:r>
    </w:p>
    <w:p w:rsidR="00000000" w:rsidRPr="00A54DC1" w:rsidP="00A54DC1">
      <w:pPr>
        <w:pStyle w:val="ListBullet"/>
      </w:pPr>
      <w:r w:rsidRPr="00A54DC1">
        <w:t>tender and contract documents, supply agreements, quality and delivery parameters, and terms of payment</w:t>
      </w:r>
    </w:p>
    <w:p w:rsidR="00000000" w:rsidRPr="00A54DC1" w:rsidP="00A54DC1">
      <w:pPr>
        <w:pStyle w:val="ListBullet"/>
      </w:pPr>
      <w:r w:rsidRPr="00A54DC1">
        <w:t>supply chain communications, feedback on quality, supply chain efficiency and continuous improvement processes</w:t>
      </w:r>
    </w:p>
    <w:p w:rsidR="00000000" w:rsidRPr="00A54DC1" w:rsidP="00A54DC1">
      <w:pPr>
        <w:pStyle w:val="ListBullet"/>
      </w:pPr>
      <w:r w:rsidRPr="00A54DC1">
        <w:t>sustainability policies, procedures and i</w:t>
      </w:r>
      <w:r w:rsidRPr="00A54DC1">
        <w:t>mplications</w:t>
      </w:r>
    </w:p>
    <w:p w:rsidR="00000000" w:rsidRPr="00A54DC1" w:rsidP="00A54DC1">
      <w:pPr>
        <w:pStyle w:val="ListBullet"/>
      </w:pPr>
      <w:r w:rsidRPr="00A54DC1">
        <w:t>work health and safety (WHS), regulatory and risk management requirements with particular emphasis on handling and use of resources</w:t>
      </w:r>
    </w:p>
    <w:p w:rsidR="00000000" w:rsidRPr="00A54DC1" w:rsidP="00A54DC1">
      <w:pPr>
        <w:pStyle w:val="ListBullet"/>
      </w:pPr>
      <w:r w:rsidRPr="00A54DC1">
        <w:t xml:space="preserve">WHS and regulatory compliance requirements, safety data sheets (SDS), test results, and risk management related </w:t>
      </w:r>
      <w:r w:rsidRPr="00A54DC1">
        <w:t>to handling and storage</w:t>
      </w:r>
    </w:p>
    <w:p w:rsidR="00000000" w:rsidRPr="00A54DC1" w:rsidP="00A54DC1">
      <w:pPr>
        <w:pStyle w:val="ListBullet"/>
      </w:pPr>
      <w:r w:rsidRPr="00A54DC1">
        <w:t>use of systems thinking, constraints and contingency management, problem- solving and decision-making, and continuous improvement techniques</w:t>
      </w:r>
    </w:p>
    <w:p w:rsidR="00000000" w:rsidRPr="00A54DC1" w:rsidP="00A54DC1">
      <w:pPr>
        <w:pStyle w:val="ListBullet"/>
      </w:pPr>
      <w:r w:rsidRPr="00A54DC1">
        <w:t>typical constraints for sourcing of engineering materials.</w:t>
      </w:r>
    </w:p>
    <w:p w:rsidR="00000000" w:rsidRPr="00A54DC1" w:rsidP="00A54DC1">
      <w:pPr>
        <w:pStyle w:val="AllowPageBreak"/>
      </w:pPr>
    </w:p>
    <w:p w:rsidR="00000000" w:rsidRPr="00A54DC1" w:rsidP="00A54DC1">
      <w:pPr>
        <w:pStyle w:val="Heading1"/>
      </w:pPr>
      <w:bookmarkStart w:id="4" w:name="O_945598"/>
      <w:bookmarkEnd w:id="4"/>
      <w:r w:rsidRPr="00A54DC1">
        <w:t>Assessment Cond</w:t>
      </w:r>
      <w:r w:rsidRPr="00A54DC1">
        <w:t>itions</w:t>
      </w:r>
    </w:p>
    <w:p w:rsidR="00000000" w:rsidRPr="00A54DC1" w:rsidP="00A54DC1">
      <w:pPr>
        <w:pStyle w:val="ListBullet"/>
      </w:pPr>
      <w:r w:rsidRPr="00A54DC1">
        <w:t>Assessors must:</w:t>
      </w:r>
    </w:p>
    <w:p w:rsidR="00000000" w:rsidRPr="00A54DC1" w:rsidP="00A54DC1">
      <w:pPr>
        <w:pStyle w:val="ListBullet2"/>
      </w:pPr>
      <w:r w:rsidRPr="00A54DC1">
        <w:t>have vocational competency in sourcing and estimating engineering materials requirements at least to the level being assessed with relevant industry knowledge and experience</w:t>
      </w:r>
    </w:p>
    <w:p w:rsidR="00000000" w:rsidRPr="00A54DC1" w:rsidP="00A54DC1">
      <w:pPr>
        <w:pStyle w:val="ListBullet2"/>
      </w:pPr>
      <w:r w:rsidRPr="00A54DC1">
        <w:t xml:space="preserve">satisfy the assessor requirements in the </w:t>
      </w:r>
      <w:r w:rsidRPr="00A54DC1">
        <w:rPr>
          <w:rStyle w:val="Emphasis"/>
        </w:rPr>
        <w:t>Standards for Re</w:t>
      </w:r>
      <w:r w:rsidRPr="00A54DC1">
        <w:rPr>
          <w:rStyle w:val="Emphasis"/>
        </w:rPr>
        <w:t>gistered Training Organisations 2015</w:t>
      </w:r>
      <w:r w:rsidRPr="00A54DC1">
        <w:t xml:space="preserve"> or its replacement and comply with the </w:t>
      </w:r>
      <w:r w:rsidRPr="00A54DC1">
        <w:rPr>
          <w:rStyle w:val="Emphasis"/>
        </w:rPr>
        <w:t>National Vocational Education and Training Regulator Act 2011</w:t>
      </w:r>
      <w:r w:rsidRPr="00A54DC1">
        <w:t>, its replacement or equivalent legislation covering VET regulation in a non-referring state/territory as the case requ</w:t>
      </w:r>
      <w:r w:rsidRPr="00A54DC1">
        <w:t>ires.</w:t>
      </w:r>
    </w:p>
    <w:p w:rsidR="00000000" w:rsidRPr="00A54DC1" w:rsidP="00A54DC1">
      <w:pPr>
        <w:pStyle w:val="ListBullet"/>
      </w:pPr>
      <w:r w:rsidRPr="00A54DC1">
        <w:t xml:space="preserve">Where possible, assessment must occur in operational workplace situations. Where this is not </w:t>
      </w:r>
      <w:r w:rsidRPr="00A54DC1">
        <w:t>possible or where personal safety or environmental damage are limiting factors, assessment must occur in a sufficiently rigorous simulated environment that reflects realistic operational workplace conditions that cover all aspects of workplace performance,</w:t>
      </w:r>
      <w:r w:rsidRPr="00A54DC1">
        <w:t xml:space="preserve"> including environment, task skills, task management skills, contingency management skills and job role environment skills.</w:t>
      </w:r>
    </w:p>
    <w:p w:rsidR="00000000" w:rsidRPr="00A54DC1" w:rsidP="00A54DC1">
      <w:pPr>
        <w:pStyle w:val="ListBullet"/>
      </w:pPr>
      <w:r w:rsidRPr="00A54DC1">
        <w:t>Conditions for assessment must include access to all tools, equipment, materials and documentation required including relevant workp</w:t>
      </w:r>
      <w:r w:rsidRPr="00A54DC1">
        <w:t>lace procedures, product and manufacturing specifications.</w:t>
      </w:r>
    </w:p>
    <w:p w:rsidR="00000000" w:rsidRPr="00A54DC1" w:rsidP="00A54DC1">
      <w:pPr>
        <w:pStyle w:val="ListBullet"/>
      </w:pPr>
      <w:r w:rsidRPr="00A54DC1">
        <w:t>Assessment processes and techniques must be appropriate to the language, literacy and numeracy requirements of the work being performed and the needs of the candidate.</w:t>
      </w:r>
    </w:p>
    <w:p w:rsidR="00000000" w:rsidRPr="00A54DC1" w:rsidP="00A54DC1">
      <w:pPr>
        <w:pStyle w:val="AllowPageBreak"/>
      </w:pPr>
    </w:p>
    <w:p w:rsidR="00000000" w:rsidRPr="00A54DC1" w:rsidP="00A54DC1">
      <w:pPr>
        <w:pStyle w:val="Heading1"/>
      </w:pPr>
      <w:bookmarkStart w:id="5" w:name="O_945596"/>
      <w:bookmarkEnd w:id="5"/>
      <w:r w:rsidRPr="00A54DC1">
        <w:t>Links</w:t>
      </w:r>
    </w:p>
    <w:p w:rsidR="00000000" w:rsidRPr="00A54DC1" w:rsidP="0012387E">
      <w:pPr>
        <w:pStyle w:val="BodyText"/>
      </w:pPr>
      <w:r w:rsidRPr="00A54DC1">
        <w:t>Compan</w:t>
      </w:r>
      <w:r w:rsidRPr="00A54DC1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501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54DC1" w:rsidP="00A54DC1"/>
    <w:sectPr w:rsidSect="00A54D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C1" w:rsidRPr="0012387E" w:rsidP="00123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7E" w:rsidP="00A54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387E" w:rsidP="00A54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387E" w:rsidP="00A54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DC1" w:rsidRPr="0012387E" w:rsidP="00123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87E" w:rsidRPr="002D2AF8" w:rsidP="00A54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MEM22015 Source and estimate engineering materials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2387E" w:rsidP="00A54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A08E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DA93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4A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DC1"/>
  </w:style>
  <w:style w:type="character" w:customStyle="1" w:styleId="Heading1Char">
    <w:name w:val="Heading 1 Char"/>
    <w:basedOn w:val="DefaultParagraphFont"/>
    <w:link w:val="Heading1"/>
    <w:rsid w:val="00A54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D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4D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4DC1"/>
    <w:rPr>
      <w:i/>
    </w:rPr>
  </w:style>
  <w:style w:type="paragraph" w:customStyle="1" w:styleId="SuperHeading">
    <w:name w:val="SuperHeading"/>
    <w:basedOn w:val="Normal"/>
    <w:rsid w:val="00A54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4DC1"/>
    <w:rPr>
      <w:b/>
      <w:spacing w:val="0"/>
    </w:rPr>
  </w:style>
  <w:style w:type="paragraph" w:customStyle="1" w:styleId="SuperTitle">
    <w:name w:val="SuperTitle"/>
    <w:basedOn w:val="Title"/>
    <w:rsid w:val="00A54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D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DC1"/>
  </w:style>
  <w:style w:type="paragraph" w:styleId="TableofFigures">
    <w:name w:val="table of figures"/>
    <w:basedOn w:val="Normal"/>
    <w:next w:val="Normal"/>
    <w:semiHidden/>
    <w:rsid w:val="00A54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D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DC1"/>
    <w:rPr>
      <w:rFonts w:ascii="Wingdings" w:hAnsi="Wingdings"/>
    </w:rPr>
  </w:style>
  <w:style w:type="paragraph" w:customStyle="1" w:styleId="TableHeading">
    <w:name w:val="Table Heading"/>
    <w:basedOn w:val="HeadingBase"/>
    <w:rsid w:val="00A54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DC1"/>
    <w:rPr>
      <w:color w:val="0033CC"/>
      <w:u w:val="none"/>
    </w:rPr>
  </w:style>
  <w:style w:type="paragraph" w:customStyle="1" w:styleId="BodyTextRight">
    <w:name w:val="Body Text Right"/>
    <w:basedOn w:val="BodyText"/>
    <w:rsid w:val="00A54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D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DC1"/>
    <w:rPr>
      <w:sz w:val="32"/>
    </w:rPr>
  </w:style>
  <w:style w:type="paragraph" w:customStyle="1" w:styleId="HeadingProcedure">
    <w:name w:val="Heading Procedure"/>
    <w:basedOn w:val="HeadingBase"/>
    <w:next w:val="Normal"/>
    <w:rsid w:val="00A54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DC1"/>
    <w:pPr>
      <w:spacing w:before="60" w:after="60"/>
    </w:pPr>
  </w:style>
  <w:style w:type="paragraph" w:styleId="ListContinue">
    <w:name w:val="List Continue"/>
    <w:basedOn w:val="List"/>
    <w:rsid w:val="00A54DC1"/>
    <w:pPr>
      <w:ind w:firstLine="0"/>
    </w:pPr>
  </w:style>
  <w:style w:type="paragraph" w:customStyle="1" w:styleId="ListNote">
    <w:name w:val="List Note"/>
    <w:basedOn w:val="List"/>
    <w:rsid w:val="00A54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DC1"/>
    <w:rPr>
      <w:rFonts w:ascii="Courier New" w:hAnsi="Courier New"/>
    </w:rPr>
  </w:style>
  <w:style w:type="paragraph" w:customStyle="1" w:styleId="NoteBullet">
    <w:name w:val="Note Bullet"/>
    <w:basedOn w:val="Note"/>
    <w:rsid w:val="00A54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D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DC1"/>
    <w:rPr>
      <w:b/>
      <w:smallCaps/>
    </w:rPr>
  </w:style>
  <w:style w:type="paragraph" w:customStyle="1" w:styleId="TableListNumber">
    <w:name w:val="Table List Number"/>
    <w:basedOn w:val="ListNumber"/>
    <w:rsid w:val="00A54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DC1"/>
    <w:pPr>
      <w:numPr>
        <w:numId w:val="9"/>
      </w:numPr>
    </w:pPr>
  </w:style>
  <w:style w:type="paragraph" w:customStyle="1" w:styleId="ListAlpha2">
    <w:name w:val="List Alpha 2"/>
    <w:basedOn w:val="List2"/>
    <w:rsid w:val="00A54DC1"/>
    <w:pPr>
      <w:numPr>
        <w:numId w:val="8"/>
      </w:numPr>
    </w:pPr>
  </w:style>
  <w:style w:type="paragraph" w:styleId="List2">
    <w:name w:val="List 2"/>
    <w:basedOn w:val="BodyText"/>
    <w:rsid w:val="00A54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D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D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DC1"/>
    <w:pPr>
      <w:numPr>
        <w:numId w:val="4"/>
      </w:numPr>
    </w:pPr>
  </w:style>
  <w:style w:type="paragraph" w:styleId="ListContinue2">
    <w:name w:val="List Continue 2"/>
    <w:basedOn w:val="List2"/>
    <w:rsid w:val="00A54DC1"/>
    <w:pPr>
      <w:ind w:firstLine="0"/>
    </w:pPr>
  </w:style>
  <w:style w:type="paragraph" w:styleId="ListContinue3">
    <w:name w:val="List Continue 3"/>
    <w:basedOn w:val="List3"/>
    <w:rsid w:val="00A54DC1"/>
    <w:pPr>
      <w:ind w:left="1021" w:firstLine="0"/>
    </w:pPr>
  </w:style>
  <w:style w:type="paragraph" w:styleId="ListContinue4">
    <w:name w:val="List Continue 4"/>
    <w:basedOn w:val="List4"/>
    <w:rsid w:val="00A54DC1"/>
    <w:pPr>
      <w:ind w:firstLine="0"/>
    </w:pPr>
  </w:style>
  <w:style w:type="paragraph" w:styleId="ListContinue5">
    <w:name w:val="List Continue 5"/>
    <w:basedOn w:val="List5"/>
    <w:rsid w:val="00A54DC1"/>
    <w:pPr>
      <w:ind w:firstLine="0"/>
    </w:pPr>
  </w:style>
  <w:style w:type="paragraph" w:styleId="ListNumber3">
    <w:name w:val="List Number 3"/>
    <w:basedOn w:val="List3"/>
    <w:rsid w:val="00A54DC1"/>
    <w:pPr>
      <w:numPr>
        <w:numId w:val="5"/>
      </w:numPr>
    </w:pPr>
  </w:style>
  <w:style w:type="paragraph" w:styleId="ListNumber4">
    <w:name w:val="List Number 4"/>
    <w:basedOn w:val="List4"/>
    <w:rsid w:val="00A54DC1"/>
    <w:pPr>
      <w:numPr>
        <w:numId w:val="6"/>
      </w:numPr>
    </w:pPr>
  </w:style>
  <w:style w:type="paragraph" w:styleId="ListNumber5">
    <w:name w:val="List Number 5"/>
    <w:basedOn w:val="List5"/>
    <w:rsid w:val="00A54DC1"/>
    <w:pPr>
      <w:numPr>
        <w:numId w:val="7"/>
      </w:numPr>
    </w:pPr>
  </w:style>
  <w:style w:type="paragraph" w:styleId="BlockText">
    <w:name w:val="Block Text"/>
    <w:basedOn w:val="Normal"/>
    <w:rsid w:val="00A54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DC1"/>
    <w:rPr>
      <w:sz w:val="16"/>
      <w:vertAlign w:val="superscript"/>
    </w:rPr>
  </w:style>
  <w:style w:type="character" w:customStyle="1" w:styleId="Symbols">
    <w:name w:val="Symbols"/>
    <w:basedOn w:val="DefaultParagraphFont"/>
    <w:rsid w:val="00A54DC1"/>
    <w:rPr>
      <w:rFonts w:ascii="Symbol" w:hAnsi="Symbol"/>
    </w:rPr>
  </w:style>
  <w:style w:type="character" w:customStyle="1" w:styleId="MenuOptions">
    <w:name w:val="Menu Options"/>
    <w:basedOn w:val="DefaultParagraphFont"/>
    <w:rsid w:val="00A54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DC1"/>
    <w:rPr>
      <w:b/>
    </w:rPr>
  </w:style>
  <w:style w:type="character" w:customStyle="1" w:styleId="Underlined">
    <w:name w:val="Underlined"/>
    <w:basedOn w:val="DefaultParagraphFont"/>
    <w:rsid w:val="00A54DC1"/>
    <w:rPr>
      <w:u w:val="single"/>
    </w:rPr>
  </w:style>
  <w:style w:type="paragraph" w:customStyle="1" w:styleId="TableBodyTextRight">
    <w:name w:val="Table Body Text Right"/>
    <w:basedOn w:val="TableBodyText"/>
    <w:rsid w:val="00A54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DC1"/>
    <w:rPr>
      <w:sz w:val="18"/>
    </w:rPr>
  </w:style>
  <w:style w:type="paragraph" w:customStyle="1" w:styleId="BodySmallRight">
    <w:name w:val="Body Small Right"/>
    <w:basedOn w:val="BodyTextRight"/>
    <w:rsid w:val="00A54DC1"/>
    <w:rPr>
      <w:sz w:val="18"/>
      <w:szCs w:val="18"/>
    </w:rPr>
  </w:style>
  <w:style w:type="paragraph" w:customStyle="1" w:styleId="MarginEdition">
    <w:name w:val="Margin Edition"/>
    <w:basedOn w:val="MarginNote"/>
    <w:rsid w:val="00A54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DC1"/>
    <w:rPr>
      <w:sz w:val="2"/>
      <w:szCs w:val="2"/>
    </w:rPr>
  </w:style>
  <w:style w:type="character" w:customStyle="1" w:styleId="Small">
    <w:name w:val="Small"/>
    <w:basedOn w:val="DefaultParagraphFont"/>
    <w:rsid w:val="00A54DC1"/>
    <w:rPr>
      <w:sz w:val="16"/>
    </w:rPr>
  </w:style>
  <w:style w:type="paragraph" w:customStyle="1" w:styleId="WideTable">
    <w:name w:val="Wide Table"/>
    <w:basedOn w:val="Normal"/>
    <w:rsid w:val="00A54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DC1"/>
  </w:style>
  <w:style w:type="paragraph" w:styleId="Quote">
    <w:name w:val="Quote"/>
    <w:basedOn w:val="Heading1"/>
    <w:link w:val="QuoteChar"/>
    <w:qFormat/>
    <w:rsid w:val="00A54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DC1"/>
    <w:pPr>
      <w:pageBreakBefore/>
    </w:pPr>
  </w:style>
  <w:style w:type="paragraph" w:customStyle="1" w:styleId="Border">
    <w:name w:val="Border"/>
    <w:basedOn w:val="Normal"/>
    <w:qFormat/>
    <w:rsid w:val="00A54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DC1"/>
    <w:rPr>
      <w:u w:val="single"/>
    </w:rPr>
  </w:style>
  <w:style w:type="character" w:customStyle="1" w:styleId="BoldandItalics">
    <w:name w:val="Bold and Italics"/>
    <w:qFormat/>
    <w:rsid w:val="00A54DC1"/>
    <w:rPr>
      <w:b/>
      <w:i/>
      <w:u w:val="none"/>
    </w:rPr>
  </w:style>
  <w:style w:type="paragraph" w:styleId="BalloonText">
    <w:name w:val="Balloon Text"/>
    <w:basedOn w:val="Normal"/>
    <w:link w:val="BalloonTextChar"/>
    <w:rsid w:val="00A54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DC1"/>
    <w:pPr>
      <w:spacing w:before="0" w:after="0"/>
    </w:pPr>
  </w:style>
  <w:style w:type="paragraph" w:customStyle="1" w:styleId="BodyTextBold">
    <w:name w:val="Body Text Bold"/>
    <w:basedOn w:val="BodyText"/>
    <w:qFormat/>
    <w:rsid w:val="00A54DC1"/>
    <w:rPr>
      <w:b/>
    </w:rPr>
  </w:style>
  <w:style w:type="character" w:styleId="Hyperlink">
    <w:name w:val="Hyperlink"/>
    <w:basedOn w:val="DefaultParagraphFont"/>
    <w:uiPriority w:val="99"/>
    <w:unhideWhenUsed/>
    <w:rsid w:val="00123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4171</Characters>
  <Application>Microsoft Office Word</Application>
  <DocSecurity>0</DocSecurity>
  <Lines>86</Lines>
  <Paragraphs>46</Paragraphs>
  <ScaleCrop>false</ScaleCrop>
  <Company>Author-it Software Corporation Ltd.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MEM22015 Source and estimate engineering materials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