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749" w:rsidP="009C7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MEM22014 Coordinate engineering-related manufacturing operations</w:t>
      </w:r>
      <w:r>
        <w:fldChar w:fldCharType="end"/>
      </w:r>
    </w:p>
    <w:p w:rsidR="009C7749" w:rsidP="009C7749">
      <w:pPr>
        <w:pStyle w:val="Version"/>
        <w:sectPr w:rsidSect="006E4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7FB" w:rsidP="006E47FB">
      <w:pPr>
        <w:pStyle w:val="SuperHeading"/>
      </w:pPr>
      <w:r w:rsidRPr="006E47FB">
        <w:t>Assessment Requirements for MEM22014 Coordinate engineering-related manufacturing operations</w:t>
      </w:r>
    </w:p>
    <w:p w:rsidR="00000000" w:rsidRPr="006E47FB" w:rsidP="006E47FB">
      <w:pPr>
        <w:pStyle w:val="Heading1"/>
      </w:pPr>
      <w:bookmarkStart w:id="1" w:name="O_945578"/>
      <w:bookmarkEnd w:id="1"/>
      <w:r w:rsidRPr="006E47FB">
        <w:t>Modification History</w:t>
      </w:r>
    </w:p>
    <w:p w:rsidR="00000000" w:rsidRPr="006E47FB" w:rsidP="009C7749">
      <w:pPr>
        <w:pStyle w:val="BodyText"/>
      </w:pPr>
      <w:r w:rsidRPr="006E47FB">
        <w:t>Release 1. Supersedes and is equivalent to MEM22014A Coordinate engineering-related manufacturing operations.</w:t>
      </w:r>
    </w:p>
    <w:p w:rsidR="00000000" w:rsidRPr="006E47FB" w:rsidP="006E47FB">
      <w:pPr>
        <w:pStyle w:val="Heading1"/>
      </w:pPr>
      <w:bookmarkStart w:id="2" w:name="O_945581"/>
      <w:bookmarkEnd w:id="2"/>
      <w:r w:rsidRPr="006E47FB">
        <w:t>Performance Evidence</w:t>
      </w:r>
    </w:p>
    <w:p w:rsidR="00000000" w:rsidRPr="006E47FB" w:rsidP="009C7749">
      <w:pPr>
        <w:pStyle w:val="BodyText"/>
      </w:pPr>
      <w:r w:rsidRPr="006E47FB">
        <w:t>Evidence required to demonstrate competence in this unit must be relevant to and satisfy the requirements of the elements and performance criteria and include:</w:t>
      </w:r>
    </w:p>
    <w:p w:rsidR="00000000" w:rsidRPr="006E47FB" w:rsidP="006E47FB">
      <w:pPr>
        <w:pStyle w:val="ListBullet"/>
      </w:pPr>
      <w:r w:rsidRPr="006E47FB">
        <w:t xml:space="preserve">following work instructions, standard operating procedures (SOPs) </w:t>
      </w:r>
      <w:r w:rsidRPr="006E47FB">
        <w:t>and safe work practices</w:t>
      </w:r>
    </w:p>
    <w:p w:rsidR="00000000" w:rsidRPr="006E47FB" w:rsidP="006E47FB">
      <w:pPr>
        <w:pStyle w:val="ListBullet"/>
      </w:pPr>
      <w:r w:rsidRPr="006E47FB">
        <w:t>identifying equipment and process capacity from information supplied by designers and suppliers</w:t>
      </w:r>
    </w:p>
    <w:p w:rsidR="00000000" w:rsidRPr="006E47FB" w:rsidP="006E47FB">
      <w:pPr>
        <w:pStyle w:val="ListBullet"/>
      </w:pPr>
      <w:r w:rsidRPr="006E47FB">
        <w:t>preparing production or project plan on at least two occasions in consultation with relevant stakeholders to meet work health and safety</w:t>
      </w:r>
      <w:r w:rsidRPr="006E47FB">
        <w:t xml:space="preserve"> (WHS), quality, demand and delivery requirements within capacity and budget constraints</w:t>
      </w:r>
    </w:p>
    <w:p w:rsidR="00000000" w:rsidRPr="006E47FB" w:rsidP="006E47FB">
      <w:pPr>
        <w:pStyle w:val="ListBullet"/>
      </w:pPr>
      <w:r w:rsidRPr="006E47FB">
        <w:t>applying procedures to ensure compliance of manufacturing operations with WHS, environmental and other regulatory requirements</w:t>
      </w:r>
    </w:p>
    <w:p w:rsidR="00000000" w:rsidRPr="006E47FB" w:rsidP="006E47FB">
      <w:pPr>
        <w:pStyle w:val="ListBullet"/>
      </w:pPr>
      <w:r w:rsidRPr="006E47FB">
        <w:t xml:space="preserve">reviewing and monitoring facilities and </w:t>
      </w:r>
      <w:r w:rsidRPr="006E47FB">
        <w:t>services on at least two occasions</w:t>
      </w:r>
    </w:p>
    <w:p w:rsidR="00000000" w:rsidRPr="006E47FB" w:rsidP="006E47FB">
      <w:pPr>
        <w:pStyle w:val="ListBullet"/>
      </w:pPr>
      <w:r w:rsidRPr="006E47FB">
        <w:t>maintaining records, reporting and documenting in accordance with standard operating procedures.</w:t>
      </w:r>
    </w:p>
    <w:p w:rsidR="00000000" w:rsidRPr="006E47FB" w:rsidP="006E47FB">
      <w:pPr>
        <w:pStyle w:val="BodyText"/>
      </w:pPr>
    </w:p>
    <w:p w:rsidR="00000000" w:rsidRPr="006E47FB" w:rsidP="009C7749">
      <w:pPr>
        <w:pStyle w:val="BodyText"/>
      </w:pPr>
      <w:r w:rsidRPr="006E47FB">
        <w:t>Note: Where a volume and/or frequency is not specified, demonstration must be provided at least once.</w:t>
      </w:r>
    </w:p>
    <w:p w:rsidR="00000000" w:rsidRPr="006E47FB" w:rsidP="006E47FB">
      <w:pPr>
        <w:pStyle w:val="Heading1"/>
      </w:pPr>
      <w:bookmarkStart w:id="3" w:name="O_945580"/>
      <w:bookmarkEnd w:id="3"/>
      <w:r w:rsidRPr="006E47FB">
        <w:t>Know</w:t>
      </w:r>
      <w:r w:rsidRPr="006E47FB">
        <w:t>ledge Evidence</w:t>
      </w:r>
    </w:p>
    <w:p w:rsidR="00000000" w:rsidRPr="006E47FB" w:rsidP="009C7749">
      <w:pPr>
        <w:pStyle w:val="BodyText"/>
      </w:pPr>
      <w:r w:rsidRPr="006E47FB">
        <w:t>Evidence required to demonstrate the required knowledge for this unit must be relevant to and satisfy the requirements of the elements and performance criteria and include knowledge of:</w:t>
      </w:r>
    </w:p>
    <w:p w:rsidR="00000000" w:rsidRPr="006E47FB" w:rsidP="006E47FB">
      <w:pPr>
        <w:pStyle w:val="ListBullet"/>
      </w:pPr>
      <w:r w:rsidRPr="006E47FB">
        <w:t>safe work practices and procedures</w:t>
      </w:r>
    </w:p>
    <w:p w:rsidR="00000000" w:rsidRPr="006E47FB" w:rsidP="006E47FB">
      <w:pPr>
        <w:pStyle w:val="ListBullet"/>
      </w:pPr>
      <w:r w:rsidRPr="006E47FB">
        <w:t>manufacturing manag</w:t>
      </w:r>
      <w:r w:rsidRPr="006E47FB">
        <w:t>ement systems</w:t>
      </w:r>
    </w:p>
    <w:p w:rsidR="00000000" w:rsidRPr="006E47FB" w:rsidP="006E47FB">
      <w:pPr>
        <w:pStyle w:val="ListBullet"/>
      </w:pPr>
      <w:r w:rsidRPr="006E47FB">
        <w:t>relevant stakeholders</w:t>
      </w:r>
    </w:p>
    <w:p w:rsidR="00000000" w:rsidRPr="006E47FB" w:rsidP="006E47FB">
      <w:pPr>
        <w:pStyle w:val="ListBullet"/>
      </w:pPr>
      <w:r w:rsidRPr="006E47FB">
        <w:t>sources of professional and technical assistance</w:t>
      </w:r>
    </w:p>
    <w:p w:rsidR="00000000" w:rsidRPr="006E47FB" w:rsidP="006E47FB">
      <w:pPr>
        <w:pStyle w:val="ListBullet"/>
      </w:pPr>
      <w:r w:rsidRPr="006E47FB">
        <w:t>forecasting, scheduling and production control procedures</w:t>
      </w:r>
    </w:p>
    <w:p w:rsidR="00000000" w:rsidRPr="006E47FB" w:rsidP="006E47FB">
      <w:pPr>
        <w:pStyle w:val="ListBullet"/>
      </w:pPr>
      <w:r w:rsidRPr="006E47FB">
        <w:t>production systems, including assembly and process layouts, material and product flows, automation and control systems</w:t>
      </w:r>
    </w:p>
    <w:p w:rsidR="00000000" w:rsidRPr="006E47FB" w:rsidP="006E47FB">
      <w:pPr>
        <w:pStyle w:val="ListBullet"/>
      </w:pPr>
      <w:r w:rsidRPr="006E47FB">
        <w:t>WHS requirements, codes of practice, regulations, standards, regulatory requirements, risk management, current safe work method statement</w:t>
      </w:r>
      <w:r w:rsidRPr="006E47FB">
        <w:t>s (SWMS), safety data sheets (SDS) and work permits</w:t>
      </w:r>
    </w:p>
    <w:p w:rsidR="00000000" w:rsidRPr="006E47FB" w:rsidP="006E47FB">
      <w:pPr>
        <w:pStyle w:val="ListBullet"/>
      </w:pPr>
      <w:r w:rsidRPr="006E47FB">
        <w:t>budgeting, costing and control measures</w:t>
      </w:r>
    </w:p>
    <w:p w:rsidR="00000000" w:rsidRPr="006E47FB" w:rsidP="006E47FB">
      <w:pPr>
        <w:pStyle w:val="ListBullet"/>
      </w:pPr>
      <w:r w:rsidRPr="006E47FB">
        <w:t>quality and process control measures</w:t>
      </w:r>
    </w:p>
    <w:p w:rsidR="00000000" w:rsidRPr="006E47FB" w:rsidP="006E47FB">
      <w:pPr>
        <w:pStyle w:val="ListBullet"/>
      </w:pPr>
      <w:r w:rsidRPr="006E47FB">
        <w:t>asset maintenance techniques and management options</w:t>
      </w:r>
    </w:p>
    <w:p w:rsidR="00000000" w:rsidRPr="006E47FB" w:rsidP="006E47FB">
      <w:pPr>
        <w:pStyle w:val="ListBullet"/>
      </w:pPr>
      <w:r w:rsidRPr="006E47FB">
        <w:t>continuous improvement procedures</w:t>
      </w:r>
    </w:p>
    <w:p w:rsidR="00000000" w:rsidRPr="006E47FB" w:rsidP="006E47FB">
      <w:pPr>
        <w:pStyle w:val="ListBullet"/>
      </w:pPr>
      <w:r w:rsidRPr="006E47FB">
        <w:t>problem-solving and decision-making, syst</w:t>
      </w:r>
      <w:r w:rsidRPr="006E47FB">
        <w:t>ems thinking, contingency and constraints management as applied to manufacturing</w:t>
      </w:r>
    </w:p>
    <w:p w:rsidR="00000000" w:rsidRPr="006E47FB" w:rsidP="006E47FB">
      <w:pPr>
        <w:pStyle w:val="ListBullet"/>
      </w:pPr>
      <w:r w:rsidRPr="006E47FB">
        <w:t>requirements for and functions of technical documentation, records, graphics and specifications</w:t>
      </w:r>
    </w:p>
    <w:p w:rsidR="00000000" w:rsidRPr="006E47FB" w:rsidP="006E47FB">
      <w:pPr>
        <w:pStyle w:val="ListBullet"/>
      </w:pPr>
      <w:r w:rsidRPr="006E47FB">
        <w:t>sustainability implications of manufacturing operations, products and processes</w:t>
      </w:r>
      <w:r w:rsidRPr="006E47FB">
        <w:t>, including social, environmental, resources and economic implications</w:t>
      </w:r>
    </w:p>
    <w:p w:rsidR="00000000" w:rsidRPr="006E47FB" w:rsidP="006E47FB">
      <w:pPr>
        <w:pStyle w:val="ListBullet"/>
      </w:pPr>
      <w:r w:rsidRPr="006E47FB">
        <w:t>reporting and documenting procedures used in manufacturing, including role of standard operating procedures (SOPs), engineering drawings and process control charts</w:t>
      </w:r>
    </w:p>
    <w:p w:rsidR="00000000" w:rsidRPr="006E47FB" w:rsidP="006E47FB">
      <w:pPr>
        <w:pStyle w:val="ListBullet"/>
      </w:pPr>
      <w:r w:rsidRPr="006E47FB">
        <w:t>current options and t</w:t>
      </w:r>
      <w:r w:rsidRPr="006E47FB">
        <w:t>ends in software</w:t>
      </w:r>
    </w:p>
    <w:p w:rsidR="00000000" w:rsidRPr="006E47FB" w:rsidP="006E47FB">
      <w:pPr>
        <w:pStyle w:val="ListBullet"/>
      </w:pPr>
      <w:r w:rsidRPr="006E47FB">
        <w:t>continuous improvement processes and procedures</w:t>
      </w:r>
    </w:p>
    <w:p w:rsidR="00000000" w:rsidRPr="006E47FB" w:rsidP="006E47FB">
      <w:pPr>
        <w:pStyle w:val="ListBullet"/>
      </w:pPr>
      <w:r w:rsidRPr="006E47FB">
        <w:t>lean manufacturing principles</w:t>
      </w:r>
    </w:p>
    <w:p w:rsidR="00000000" w:rsidRPr="006E47FB" w:rsidP="006E47FB">
      <w:pPr>
        <w:pStyle w:val="ListBullet"/>
      </w:pPr>
      <w:r w:rsidRPr="006E47FB">
        <w:t>typical constraints</w:t>
      </w:r>
    </w:p>
    <w:p w:rsidR="00000000" w:rsidRPr="006E47FB" w:rsidP="006E47FB">
      <w:pPr>
        <w:pStyle w:val="ListBullet"/>
      </w:pPr>
      <w:r w:rsidRPr="006E47FB">
        <w:t>sustainability considerations.</w:t>
      </w:r>
    </w:p>
    <w:p w:rsidR="00000000" w:rsidRPr="006E47FB" w:rsidP="006E47FB">
      <w:pPr>
        <w:pStyle w:val="AllowPageBreak"/>
      </w:pPr>
    </w:p>
    <w:p w:rsidR="00000000" w:rsidRPr="006E47FB" w:rsidP="006E47FB">
      <w:pPr>
        <w:pStyle w:val="Heading1"/>
      </w:pPr>
      <w:bookmarkStart w:id="4" w:name="O_945579"/>
      <w:bookmarkEnd w:id="4"/>
      <w:r w:rsidRPr="006E47FB">
        <w:t>Assessment Conditions</w:t>
      </w:r>
    </w:p>
    <w:p w:rsidR="00000000" w:rsidRPr="006E47FB" w:rsidP="006E47FB">
      <w:pPr>
        <w:pStyle w:val="ListBullet"/>
      </w:pPr>
      <w:r w:rsidRPr="006E47FB">
        <w:t>Assessors must:</w:t>
      </w:r>
    </w:p>
    <w:p w:rsidR="00000000" w:rsidRPr="006E47FB" w:rsidP="006E47FB">
      <w:pPr>
        <w:pStyle w:val="ListBullet2"/>
      </w:pPr>
      <w:r w:rsidRPr="006E47FB">
        <w:t>have vocational competency in coordinating engineerin</w:t>
      </w:r>
      <w:r w:rsidRPr="006E47FB">
        <w:t>g-related manufacturing operations at least to the level being assessed with relevant industry knowledge and experience</w:t>
      </w:r>
    </w:p>
    <w:p w:rsidR="00000000" w:rsidRPr="006E47FB" w:rsidP="006E47FB">
      <w:pPr>
        <w:pStyle w:val="ListBullet2"/>
      </w:pPr>
      <w:r w:rsidRPr="006E47FB">
        <w:t xml:space="preserve">satisfy the assessor requirements in the </w:t>
      </w:r>
      <w:r w:rsidRPr="006E47FB">
        <w:rPr>
          <w:rStyle w:val="Emphasis"/>
        </w:rPr>
        <w:t xml:space="preserve">Standards for Registered Training Organisations 2015 </w:t>
      </w:r>
      <w:r w:rsidRPr="006E47FB">
        <w:t>or its replacement</w:t>
      </w:r>
      <w:r w:rsidRPr="006E47FB">
        <w:rPr>
          <w:rStyle w:val="Emphasis"/>
        </w:rPr>
        <w:t xml:space="preserve"> </w:t>
      </w:r>
      <w:r w:rsidRPr="006E47FB">
        <w:t xml:space="preserve">and comply with the </w:t>
      </w:r>
      <w:r w:rsidRPr="006E47FB">
        <w:rPr>
          <w:rStyle w:val="Emphasis"/>
        </w:rPr>
        <w:t xml:space="preserve">National Vocational Education and Training Regulator Act 2011, </w:t>
      </w:r>
      <w:r w:rsidRPr="006E47FB">
        <w:t>its replacement</w:t>
      </w:r>
      <w:r w:rsidRPr="006E47FB">
        <w:rPr>
          <w:rStyle w:val="Emphasis"/>
        </w:rPr>
        <w:t xml:space="preserve"> </w:t>
      </w:r>
      <w:r w:rsidRPr="006E47FB">
        <w:t>or equivalent legislation covering VET regulation in a non-referring state/territory as the case requires.</w:t>
      </w:r>
    </w:p>
    <w:p w:rsidR="00000000" w:rsidRPr="006E47FB" w:rsidP="006E47FB">
      <w:pPr>
        <w:pStyle w:val="ListBullet"/>
      </w:pPr>
      <w:r w:rsidRPr="006E47FB">
        <w:t>Where possible, assessment must occur in operational workplace situat</w:t>
      </w:r>
      <w:r w:rsidRPr="006E47FB">
        <w:t>ions. Where this is not possible or where personal safety or environmental damage are limiting factors, assessment must occur in a sufficiently rigorous simulated environment that reflects realistic operational workplace conditions that cover all aspects o</w:t>
      </w:r>
      <w:r w:rsidRPr="006E47FB">
        <w:t>f workplace performance, including environment, task skills, task management skills, contingency management skills and job role environment skills.</w:t>
      </w:r>
    </w:p>
    <w:p w:rsidR="00000000" w:rsidRPr="006E47FB" w:rsidP="006E47FB">
      <w:pPr>
        <w:pStyle w:val="ListBullet"/>
      </w:pPr>
      <w:r w:rsidRPr="006E47FB">
        <w:t xml:space="preserve">Conditions for assessment must include access to all tools, equipment, materials and documentation required </w:t>
      </w:r>
      <w:r w:rsidRPr="006E47FB">
        <w:t>including relevant workplace procedures, product and manufacturing specifications.</w:t>
      </w:r>
    </w:p>
    <w:p w:rsidR="009C7749" w:rsidP="006E47FB">
      <w:pPr>
        <w:pStyle w:val="ListBullet"/>
      </w:pPr>
      <w:r w:rsidRPr="006E47FB">
        <w:t>Assessment processes and techniques must be appropriate to the language, literacy and numeracy requirements of the work being performed and the needs of the candidate.</w:t>
      </w:r>
    </w:p>
    <w:p w:rsidR="009C7749" w:rsidP="006E47FB">
      <w:pPr>
        <w:pStyle w:val="ListBullet"/>
      </w:pPr>
    </w:p>
    <w:p w:rsidR="00000000" w:rsidRPr="006E47FB" w:rsidP="006E47FB">
      <w:pPr>
        <w:pStyle w:val="Heading1"/>
      </w:pPr>
      <w:bookmarkStart w:id="5" w:name="O_945577"/>
      <w:bookmarkEnd w:id="5"/>
      <w:r w:rsidRPr="006E47FB">
        <w:t>Links</w:t>
      </w:r>
    </w:p>
    <w:p w:rsidR="00000000" w:rsidRPr="006E47FB" w:rsidP="009C7749">
      <w:pPr>
        <w:pStyle w:val="BodyText"/>
      </w:pPr>
      <w:r w:rsidRPr="006E47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96DF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E47FB" w:rsidP="006E47FB"/>
    <w:sectPr w:rsidSect="006E47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FB" w:rsidRPr="009C7749" w:rsidP="009C7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49" w:rsidP="006E4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749" w:rsidP="006E4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7749" w:rsidP="006E4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7FB" w:rsidRPr="009C7749" w:rsidP="009C7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49" w:rsidRPr="002D2AF8" w:rsidP="006E4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MEM22014 Coordinate engineering-related manufacturing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C7749" w:rsidP="006E4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2A49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987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05E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7FB"/>
  </w:style>
  <w:style w:type="character" w:customStyle="1" w:styleId="Heading1Char">
    <w:name w:val="Heading 1 Char"/>
    <w:basedOn w:val="DefaultParagraphFont"/>
    <w:link w:val="Heading1"/>
    <w:rsid w:val="006E4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7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7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47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47FB"/>
    <w:rPr>
      <w:i/>
    </w:rPr>
  </w:style>
  <w:style w:type="paragraph" w:customStyle="1" w:styleId="SuperHeading">
    <w:name w:val="SuperHeading"/>
    <w:basedOn w:val="Normal"/>
    <w:rsid w:val="006E4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7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7FB"/>
    <w:rPr>
      <w:b/>
      <w:spacing w:val="0"/>
    </w:rPr>
  </w:style>
  <w:style w:type="paragraph" w:customStyle="1" w:styleId="SuperTitle">
    <w:name w:val="SuperTitle"/>
    <w:basedOn w:val="Title"/>
    <w:rsid w:val="006E4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7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7FB"/>
  </w:style>
  <w:style w:type="paragraph" w:styleId="TableofFigures">
    <w:name w:val="table of figures"/>
    <w:basedOn w:val="Normal"/>
    <w:next w:val="Normal"/>
    <w:semiHidden/>
    <w:rsid w:val="006E4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7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7FB"/>
    <w:rPr>
      <w:rFonts w:ascii="Wingdings" w:hAnsi="Wingdings"/>
    </w:rPr>
  </w:style>
  <w:style w:type="paragraph" w:customStyle="1" w:styleId="TableHeading">
    <w:name w:val="Table Heading"/>
    <w:basedOn w:val="HeadingBase"/>
    <w:rsid w:val="006E4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7FB"/>
    <w:rPr>
      <w:color w:val="0033CC"/>
      <w:u w:val="none"/>
    </w:rPr>
  </w:style>
  <w:style w:type="paragraph" w:customStyle="1" w:styleId="BodyTextRight">
    <w:name w:val="Body Text Right"/>
    <w:basedOn w:val="BodyText"/>
    <w:rsid w:val="006E4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7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7FB"/>
    <w:rPr>
      <w:sz w:val="32"/>
    </w:rPr>
  </w:style>
  <w:style w:type="paragraph" w:customStyle="1" w:styleId="HeadingProcedure">
    <w:name w:val="Heading Procedure"/>
    <w:basedOn w:val="HeadingBase"/>
    <w:next w:val="Normal"/>
    <w:rsid w:val="006E4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7FB"/>
    <w:pPr>
      <w:spacing w:before="60" w:after="60"/>
    </w:pPr>
  </w:style>
  <w:style w:type="paragraph" w:styleId="ListContinue">
    <w:name w:val="List Continue"/>
    <w:basedOn w:val="List"/>
    <w:rsid w:val="006E47FB"/>
    <w:pPr>
      <w:ind w:firstLine="0"/>
    </w:pPr>
  </w:style>
  <w:style w:type="paragraph" w:customStyle="1" w:styleId="ListNote">
    <w:name w:val="List Note"/>
    <w:basedOn w:val="List"/>
    <w:rsid w:val="006E4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7FB"/>
    <w:rPr>
      <w:rFonts w:ascii="Courier New" w:hAnsi="Courier New"/>
    </w:rPr>
  </w:style>
  <w:style w:type="paragraph" w:customStyle="1" w:styleId="NoteBullet">
    <w:name w:val="Note Bullet"/>
    <w:basedOn w:val="Note"/>
    <w:rsid w:val="006E4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7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7FB"/>
    <w:rPr>
      <w:b/>
      <w:smallCaps/>
    </w:rPr>
  </w:style>
  <w:style w:type="paragraph" w:customStyle="1" w:styleId="TableListNumber">
    <w:name w:val="Table List Number"/>
    <w:basedOn w:val="ListNumber"/>
    <w:rsid w:val="006E4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7FB"/>
    <w:pPr>
      <w:numPr>
        <w:numId w:val="9"/>
      </w:numPr>
    </w:pPr>
  </w:style>
  <w:style w:type="paragraph" w:customStyle="1" w:styleId="ListAlpha2">
    <w:name w:val="List Alpha 2"/>
    <w:basedOn w:val="List2"/>
    <w:rsid w:val="006E47FB"/>
    <w:pPr>
      <w:numPr>
        <w:numId w:val="8"/>
      </w:numPr>
    </w:pPr>
  </w:style>
  <w:style w:type="paragraph" w:styleId="List2">
    <w:name w:val="List 2"/>
    <w:basedOn w:val="BodyText"/>
    <w:rsid w:val="006E4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7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7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7FB"/>
    <w:pPr>
      <w:numPr>
        <w:numId w:val="4"/>
      </w:numPr>
    </w:pPr>
  </w:style>
  <w:style w:type="paragraph" w:styleId="ListContinue2">
    <w:name w:val="List Continue 2"/>
    <w:basedOn w:val="List2"/>
    <w:rsid w:val="006E47FB"/>
    <w:pPr>
      <w:ind w:firstLine="0"/>
    </w:pPr>
  </w:style>
  <w:style w:type="paragraph" w:styleId="ListContinue3">
    <w:name w:val="List Continue 3"/>
    <w:basedOn w:val="List3"/>
    <w:rsid w:val="006E47FB"/>
    <w:pPr>
      <w:ind w:left="1021" w:firstLine="0"/>
    </w:pPr>
  </w:style>
  <w:style w:type="paragraph" w:styleId="ListContinue4">
    <w:name w:val="List Continue 4"/>
    <w:basedOn w:val="List4"/>
    <w:rsid w:val="006E47FB"/>
    <w:pPr>
      <w:ind w:firstLine="0"/>
    </w:pPr>
  </w:style>
  <w:style w:type="paragraph" w:styleId="ListContinue5">
    <w:name w:val="List Continue 5"/>
    <w:basedOn w:val="List5"/>
    <w:rsid w:val="006E47FB"/>
    <w:pPr>
      <w:ind w:firstLine="0"/>
    </w:pPr>
  </w:style>
  <w:style w:type="paragraph" w:styleId="ListNumber3">
    <w:name w:val="List Number 3"/>
    <w:basedOn w:val="List3"/>
    <w:rsid w:val="006E47FB"/>
    <w:pPr>
      <w:numPr>
        <w:numId w:val="5"/>
      </w:numPr>
    </w:pPr>
  </w:style>
  <w:style w:type="paragraph" w:styleId="ListNumber4">
    <w:name w:val="List Number 4"/>
    <w:basedOn w:val="List4"/>
    <w:rsid w:val="006E47FB"/>
    <w:pPr>
      <w:numPr>
        <w:numId w:val="6"/>
      </w:numPr>
    </w:pPr>
  </w:style>
  <w:style w:type="paragraph" w:styleId="ListNumber5">
    <w:name w:val="List Number 5"/>
    <w:basedOn w:val="List5"/>
    <w:rsid w:val="006E47FB"/>
    <w:pPr>
      <w:numPr>
        <w:numId w:val="7"/>
      </w:numPr>
    </w:pPr>
  </w:style>
  <w:style w:type="paragraph" w:styleId="BlockText">
    <w:name w:val="Block Text"/>
    <w:basedOn w:val="Normal"/>
    <w:rsid w:val="006E4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7FB"/>
    <w:rPr>
      <w:sz w:val="16"/>
      <w:vertAlign w:val="superscript"/>
    </w:rPr>
  </w:style>
  <w:style w:type="character" w:customStyle="1" w:styleId="Symbols">
    <w:name w:val="Symbols"/>
    <w:basedOn w:val="DefaultParagraphFont"/>
    <w:rsid w:val="006E47FB"/>
    <w:rPr>
      <w:rFonts w:ascii="Symbol" w:hAnsi="Symbol"/>
    </w:rPr>
  </w:style>
  <w:style w:type="character" w:customStyle="1" w:styleId="MenuOptions">
    <w:name w:val="Menu Options"/>
    <w:basedOn w:val="DefaultParagraphFont"/>
    <w:rsid w:val="006E4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7FB"/>
    <w:rPr>
      <w:b/>
    </w:rPr>
  </w:style>
  <w:style w:type="character" w:customStyle="1" w:styleId="Underlined">
    <w:name w:val="Underlined"/>
    <w:basedOn w:val="DefaultParagraphFont"/>
    <w:rsid w:val="006E47FB"/>
    <w:rPr>
      <w:u w:val="single"/>
    </w:rPr>
  </w:style>
  <w:style w:type="paragraph" w:customStyle="1" w:styleId="TableBodyTextRight">
    <w:name w:val="Table Body Text Right"/>
    <w:basedOn w:val="TableBodyText"/>
    <w:rsid w:val="006E4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7FB"/>
    <w:rPr>
      <w:sz w:val="18"/>
    </w:rPr>
  </w:style>
  <w:style w:type="paragraph" w:customStyle="1" w:styleId="BodySmallRight">
    <w:name w:val="Body Small Right"/>
    <w:basedOn w:val="BodyTextRight"/>
    <w:rsid w:val="006E47FB"/>
    <w:rPr>
      <w:sz w:val="18"/>
      <w:szCs w:val="18"/>
    </w:rPr>
  </w:style>
  <w:style w:type="paragraph" w:customStyle="1" w:styleId="MarginEdition">
    <w:name w:val="Margin Edition"/>
    <w:basedOn w:val="MarginNote"/>
    <w:rsid w:val="006E4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7FB"/>
    <w:rPr>
      <w:sz w:val="2"/>
      <w:szCs w:val="2"/>
    </w:rPr>
  </w:style>
  <w:style w:type="character" w:customStyle="1" w:styleId="Small">
    <w:name w:val="Small"/>
    <w:basedOn w:val="DefaultParagraphFont"/>
    <w:rsid w:val="006E47FB"/>
    <w:rPr>
      <w:sz w:val="16"/>
    </w:rPr>
  </w:style>
  <w:style w:type="paragraph" w:customStyle="1" w:styleId="WideTable">
    <w:name w:val="Wide Table"/>
    <w:basedOn w:val="Normal"/>
    <w:rsid w:val="006E4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7FB"/>
  </w:style>
  <w:style w:type="paragraph" w:styleId="Quote">
    <w:name w:val="Quote"/>
    <w:basedOn w:val="Heading1"/>
    <w:link w:val="QuoteChar"/>
    <w:qFormat/>
    <w:rsid w:val="006E4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7FB"/>
    <w:pPr>
      <w:pageBreakBefore/>
    </w:pPr>
  </w:style>
  <w:style w:type="paragraph" w:customStyle="1" w:styleId="Border">
    <w:name w:val="Border"/>
    <w:basedOn w:val="Normal"/>
    <w:qFormat/>
    <w:rsid w:val="006E4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7FB"/>
    <w:rPr>
      <w:u w:val="single"/>
    </w:rPr>
  </w:style>
  <w:style w:type="character" w:customStyle="1" w:styleId="BoldandItalics">
    <w:name w:val="Bold and Italics"/>
    <w:qFormat/>
    <w:rsid w:val="006E47FB"/>
    <w:rPr>
      <w:b/>
      <w:i/>
      <w:u w:val="none"/>
    </w:rPr>
  </w:style>
  <w:style w:type="paragraph" w:styleId="BalloonText">
    <w:name w:val="Balloon Text"/>
    <w:basedOn w:val="Normal"/>
    <w:link w:val="BalloonTextChar"/>
    <w:rsid w:val="006E4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7FB"/>
    <w:pPr>
      <w:spacing w:before="0" w:after="0"/>
    </w:pPr>
  </w:style>
  <w:style w:type="paragraph" w:customStyle="1" w:styleId="BodyTextBold">
    <w:name w:val="Body Text Bold"/>
    <w:basedOn w:val="BodyText"/>
    <w:qFormat/>
    <w:rsid w:val="006E47FB"/>
    <w:rPr>
      <w:b/>
    </w:rPr>
  </w:style>
  <w:style w:type="character" w:styleId="Hyperlink">
    <w:name w:val="Hyperlink"/>
    <w:basedOn w:val="DefaultParagraphFont"/>
    <w:uiPriority w:val="99"/>
    <w:unhideWhenUsed/>
    <w:rsid w:val="009C7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4024</Characters>
  <Application>Microsoft Office Word</Application>
  <DocSecurity>0</DocSecurity>
  <Lines>89</Lines>
  <Paragraphs>52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MEM22014 Coordinate engineering-related manufacturing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