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441" w:rsidP="00F36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MEM21022 Manufacture watch and clock components</w:t>
      </w:r>
      <w:r>
        <w:fldChar w:fldCharType="end"/>
      </w:r>
    </w:p>
    <w:p w:rsidR="00F36441" w:rsidP="00F36441">
      <w:pPr>
        <w:pStyle w:val="Version"/>
        <w:sectPr w:rsidSect="00E50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A38" w:rsidP="00E50A38">
      <w:pPr>
        <w:pStyle w:val="SuperHeading"/>
      </w:pPr>
      <w:r w:rsidRPr="00E50A38">
        <w:t>Assessment Requirements for MEM21022 Manufacture watch and clock components</w:t>
      </w:r>
    </w:p>
    <w:p w:rsidR="00000000" w:rsidRPr="00E50A38" w:rsidP="00E50A38">
      <w:pPr>
        <w:pStyle w:val="Heading1"/>
      </w:pPr>
      <w:bookmarkStart w:id="1" w:name="O_951517"/>
      <w:bookmarkEnd w:id="1"/>
      <w:r w:rsidRPr="00E50A38">
        <w:t>Modification History</w:t>
      </w:r>
    </w:p>
    <w:p w:rsidR="00000000" w:rsidRPr="00E50A38" w:rsidP="00F36441">
      <w:pPr>
        <w:pStyle w:val="BodyText"/>
      </w:pPr>
      <w:r w:rsidRPr="00E50A38">
        <w:t xml:space="preserve">Release 1. Supersedes and is equivalent to MEM21022A Manufacture watch and clock components </w:t>
      </w:r>
    </w:p>
    <w:p w:rsidR="00000000" w:rsidRPr="00E50A38" w:rsidP="00E50A38">
      <w:pPr>
        <w:pStyle w:val="Heading1"/>
      </w:pPr>
      <w:bookmarkStart w:id="2" w:name="O_951520"/>
      <w:bookmarkEnd w:id="2"/>
      <w:r w:rsidRPr="00E50A38">
        <w:t>Performance Evidence</w:t>
      </w:r>
    </w:p>
    <w:p w:rsidR="00000000" w:rsidRPr="00E50A38" w:rsidP="00F36441">
      <w:pPr>
        <w:pStyle w:val="BodyText"/>
      </w:pPr>
      <w:r w:rsidRPr="00E50A38">
        <w:t>Evidence required to demonstrate competence in this unit must be relevant to and satisfy the requirements of the elements and performance criteria on at least two (2) occasions and include:</w:t>
      </w:r>
    </w:p>
    <w:p w:rsidR="00000000" w:rsidRPr="00E50A38" w:rsidP="00E50A38">
      <w:pPr>
        <w:pStyle w:val="ListBullet"/>
      </w:pPr>
      <w:r w:rsidRPr="00E50A38">
        <w:t>following work instructions, standard operating procedures (SOPs)</w:t>
      </w:r>
      <w:r w:rsidRPr="00E50A38">
        <w:t xml:space="preserve"> and safe work practices </w:t>
      </w:r>
    </w:p>
    <w:p w:rsidR="00000000" w:rsidRPr="00E50A38" w:rsidP="00E50A38">
      <w:pPr>
        <w:pStyle w:val="ListBullet"/>
      </w:pPr>
      <w:r w:rsidRPr="00E50A38">
        <w:t xml:space="preserve">identifying the need for replacement component parts, liaising with customer and determining costs </w:t>
      </w:r>
    </w:p>
    <w:p w:rsidR="00000000" w:rsidRPr="00E50A38" w:rsidP="00E50A38">
      <w:pPr>
        <w:pStyle w:val="ListBullet"/>
      </w:pPr>
      <w:r w:rsidRPr="00E50A38">
        <w:t>interpreting watch and clock working drawings, manuals and other documentation that provide information on part design and toleran</w:t>
      </w:r>
      <w:r w:rsidRPr="00E50A38">
        <w:t>ces</w:t>
      </w:r>
    </w:p>
    <w:p w:rsidR="00000000" w:rsidRPr="00E50A38" w:rsidP="00E50A38">
      <w:pPr>
        <w:pStyle w:val="ListBullet"/>
      </w:pPr>
      <w:r w:rsidRPr="00E50A38">
        <w:t>setting up and mounting the material to be turned using appropriate chuck and manufacturing, finishing and fitting replacement watch or clock components to original tolerances using a watch and clockmaker’s lathe</w:t>
      </w:r>
    </w:p>
    <w:p w:rsidR="00000000" w:rsidRPr="00E50A38" w:rsidP="00E50A38">
      <w:pPr>
        <w:pStyle w:val="ListBullet"/>
      </w:pPr>
      <w:r w:rsidRPr="00E50A38">
        <w:t>performing milling operations using ind</w:t>
      </w:r>
      <w:r w:rsidRPr="00E50A38">
        <w:t>exing and milling attachments on the lathe or bench-mounted milling machine to dimension and tolerances</w:t>
      </w:r>
    </w:p>
    <w:p w:rsidR="00000000" w:rsidRPr="00E50A38" w:rsidP="00E50A38">
      <w:pPr>
        <w:pStyle w:val="ListBullet"/>
      </w:pPr>
      <w:r w:rsidRPr="00E50A38">
        <w:t>selecting and preparing appropriate tool or cutter to produce replacement parts</w:t>
      </w:r>
    </w:p>
    <w:p w:rsidR="00000000" w:rsidRPr="00E50A38" w:rsidP="00E50A38">
      <w:pPr>
        <w:pStyle w:val="ListBullet"/>
      </w:pPr>
      <w:r w:rsidRPr="00E50A38">
        <w:t>producing replacement parts, including wheels and pinions with their tee</w:t>
      </w:r>
      <w:r w:rsidRPr="00E50A38">
        <w:t>th machined to the correct depth</w:t>
      </w:r>
    </w:p>
    <w:p w:rsidR="00000000" w:rsidRPr="00E50A38" w:rsidP="00E50A38">
      <w:pPr>
        <w:pStyle w:val="ListBullet"/>
      </w:pPr>
      <w:r w:rsidRPr="00E50A38">
        <w:t>finishing manufactured components and recording and documenting repairs.</w:t>
      </w:r>
    </w:p>
    <w:p w:rsidR="00000000" w:rsidRPr="00E50A38" w:rsidP="00E50A38">
      <w:pPr>
        <w:pStyle w:val="AllowPageBreak"/>
      </w:pPr>
    </w:p>
    <w:p w:rsidR="00000000" w:rsidRPr="00E50A38" w:rsidP="00E50A38">
      <w:pPr>
        <w:pStyle w:val="Heading1"/>
      </w:pPr>
      <w:bookmarkStart w:id="3" w:name="O_951519"/>
      <w:bookmarkEnd w:id="3"/>
      <w:r w:rsidRPr="00E50A38">
        <w:t>Knowledge Evidence</w:t>
      </w:r>
    </w:p>
    <w:p w:rsidR="00000000" w:rsidRPr="00E50A38" w:rsidP="00F36441">
      <w:pPr>
        <w:pStyle w:val="BodyText"/>
      </w:pPr>
      <w:r w:rsidRPr="00E50A38">
        <w:t>Evidence required to demonstrate the required knowledge for this unit must be relevant to and satisfy the requirem</w:t>
      </w:r>
      <w:r w:rsidRPr="00E50A38">
        <w:t>ents of the elements and performance criteria and include knowledge of:</w:t>
      </w:r>
    </w:p>
    <w:p w:rsidR="00000000" w:rsidRPr="00E50A38" w:rsidP="00E50A38">
      <w:pPr>
        <w:pStyle w:val="ListBullet"/>
      </w:pPr>
      <w:r w:rsidRPr="00E50A38">
        <w:t>safe work practices and procedures and use of personal protective equipment (PPE)</w:t>
      </w:r>
    </w:p>
    <w:p w:rsidR="00000000" w:rsidRPr="00E50A38" w:rsidP="00E50A38">
      <w:pPr>
        <w:pStyle w:val="ListBullet"/>
      </w:pPr>
      <w:r w:rsidRPr="00E50A38">
        <w:t>typical materials used in watch and clockmaking</w:t>
      </w:r>
    </w:p>
    <w:p w:rsidR="00000000" w:rsidRPr="00E50A38" w:rsidP="00E50A38">
      <w:pPr>
        <w:pStyle w:val="ListBullet"/>
      </w:pPr>
      <w:r w:rsidRPr="00E50A38">
        <w:t>types of watch and clockmakers</w:t>
      </w:r>
      <w:r>
        <w:t>’</w:t>
      </w:r>
      <w:r w:rsidRPr="00E50A38">
        <w:t xml:space="preserve"> lathes and attachment</w:t>
      </w:r>
      <w:r w:rsidRPr="00E50A38">
        <w:t>s</w:t>
      </w:r>
    </w:p>
    <w:p w:rsidR="00000000" w:rsidRPr="00E50A38" w:rsidP="00E50A38">
      <w:pPr>
        <w:pStyle w:val="ListBullet"/>
      </w:pPr>
      <w:r w:rsidRPr="00E50A38">
        <w:t>lathe accessories and tooling</w:t>
      </w:r>
    </w:p>
    <w:p w:rsidR="00000000" w:rsidRPr="00E50A38" w:rsidP="00E50A38">
      <w:pPr>
        <w:pStyle w:val="ListBullet"/>
      </w:pPr>
      <w:r w:rsidRPr="00E50A38">
        <w:t>set up and safe operation of watch and clockmakers</w:t>
      </w:r>
      <w:r>
        <w:t>’</w:t>
      </w:r>
      <w:r w:rsidRPr="00E50A38">
        <w:t xml:space="preserve"> lathes and attachments</w:t>
      </w:r>
    </w:p>
    <w:p w:rsidR="00000000" w:rsidRPr="00E50A38" w:rsidP="00E50A38">
      <w:pPr>
        <w:pStyle w:val="ListBullet"/>
      </w:pPr>
      <w:r w:rsidRPr="00E50A38">
        <w:t>documentation requirements</w:t>
      </w:r>
    </w:p>
    <w:p w:rsidR="00000000" w:rsidRPr="00E50A38" w:rsidP="00E50A38">
      <w:pPr>
        <w:pStyle w:val="ListBullet"/>
      </w:pPr>
      <w:r w:rsidRPr="00E50A38">
        <w:t>set up and safe operation of milling machines and attachments</w:t>
      </w:r>
    </w:p>
    <w:p w:rsidR="00000000" w:rsidRPr="00E50A38" w:rsidP="00E50A38">
      <w:pPr>
        <w:pStyle w:val="ListBullet"/>
      </w:pPr>
      <w:r w:rsidRPr="00E50A38">
        <w:t>calculate speeds, feeds and indexing requirements</w:t>
      </w:r>
    </w:p>
    <w:p w:rsidR="00000000" w:rsidRPr="00E50A38" w:rsidP="00E50A38">
      <w:pPr>
        <w:pStyle w:val="ListBullet"/>
      </w:pPr>
      <w:r w:rsidRPr="00E50A38">
        <w:t>surface finish requirements for clock and watch parts</w:t>
      </w:r>
    </w:p>
    <w:p w:rsidR="00000000" w:rsidRPr="00E50A38" w:rsidP="00E50A38">
      <w:pPr>
        <w:pStyle w:val="ListBullet"/>
      </w:pPr>
      <w:r w:rsidRPr="00E50A38">
        <w:t>heat treatment requirements for replacement parts</w:t>
      </w:r>
    </w:p>
    <w:p w:rsidR="00000000" w:rsidRPr="00E50A38" w:rsidP="00E50A38">
      <w:pPr>
        <w:pStyle w:val="ListBullet"/>
      </w:pPr>
      <w:r w:rsidRPr="00E50A38">
        <w:t>milling procedures.</w:t>
      </w:r>
    </w:p>
    <w:p w:rsidR="00000000" w:rsidRPr="00E50A38" w:rsidP="00E50A38">
      <w:pPr>
        <w:pStyle w:val="AllowPageBreak"/>
      </w:pPr>
    </w:p>
    <w:p w:rsidR="00000000" w:rsidRPr="00E50A38" w:rsidP="00E50A38">
      <w:pPr>
        <w:pStyle w:val="Heading1"/>
      </w:pPr>
      <w:bookmarkStart w:id="4" w:name="O_951518"/>
      <w:bookmarkEnd w:id="4"/>
      <w:r w:rsidRPr="00E50A38">
        <w:t>Assessment Conditions</w:t>
      </w:r>
    </w:p>
    <w:p w:rsidR="00000000" w:rsidRPr="00E50A38" w:rsidP="00E50A38">
      <w:pPr>
        <w:pStyle w:val="ListBullet"/>
      </w:pPr>
      <w:r w:rsidRPr="00E50A38">
        <w:t>Assessors must:</w:t>
      </w:r>
    </w:p>
    <w:p w:rsidR="00000000" w:rsidRPr="00E50A38" w:rsidP="00E50A38">
      <w:pPr>
        <w:pStyle w:val="ListBullet2"/>
      </w:pPr>
      <w:r w:rsidRPr="00E50A38">
        <w:t>have vocational competency in manufacturing watch and clock components at l</w:t>
      </w:r>
      <w:r w:rsidRPr="00E50A38">
        <w:t>east to the level being assessed with relevant industry knowledge and experience</w:t>
      </w:r>
    </w:p>
    <w:p w:rsidR="00000000" w:rsidRPr="00E50A38" w:rsidP="00E50A38">
      <w:pPr>
        <w:pStyle w:val="ListBullet2"/>
      </w:pPr>
      <w:r w:rsidRPr="00E50A38">
        <w:t xml:space="preserve">satisfy the assessor requirements in the </w:t>
      </w:r>
      <w:r w:rsidRPr="00E50A38">
        <w:rPr>
          <w:rStyle w:val="Emphasis"/>
        </w:rPr>
        <w:t xml:space="preserve">Standards for Registered Training Organisations 2015 </w:t>
      </w:r>
      <w:r w:rsidRPr="00E50A38">
        <w:t>or its replacement</w:t>
      </w:r>
      <w:r w:rsidRPr="00E50A38">
        <w:rPr>
          <w:rStyle w:val="Emphasis"/>
        </w:rPr>
        <w:t xml:space="preserve"> </w:t>
      </w:r>
      <w:r w:rsidRPr="00E50A38">
        <w:t xml:space="preserve">and comply with the </w:t>
      </w:r>
      <w:r w:rsidRPr="00E50A38">
        <w:rPr>
          <w:rStyle w:val="Emphasis"/>
        </w:rPr>
        <w:t>National Vocational Education and Training</w:t>
      </w:r>
      <w:r w:rsidRPr="00E50A38">
        <w:rPr>
          <w:rStyle w:val="Emphasis"/>
        </w:rPr>
        <w:t xml:space="preserve"> Regulator Act 2011, </w:t>
      </w:r>
      <w:r w:rsidRPr="00E50A38">
        <w:t>its replacement</w:t>
      </w:r>
      <w:r w:rsidRPr="00E50A38">
        <w:rPr>
          <w:rStyle w:val="Emphasis"/>
        </w:rPr>
        <w:t xml:space="preserve"> </w:t>
      </w:r>
      <w:r w:rsidRPr="00E50A38">
        <w:t>or equivalent legislation covering VET regulation in a non-referring state/territory as the case requires</w:t>
      </w:r>
    </w:p>
    <w:p w:rsidR="00000000" w:rsidRPr="00E50A38" w:rsidP="00E50A38">
      <w:pPr>
        <w:pStyle w:val="ListBullet"/>
      </w:pPr>
      <w:r w:rsidRPr="00E50A38">
        <w:t>Where possible assessment must occur in operational workplace situations. Where this is not possible or where pe</w:t>
      </w:r>
      <w:r w:rsidRPr="00E50A38">
        <w:t>rsonal safety or environmental damage are limiting factors, assessment must occur in a sufficiently rigorous simulated environment that reflects realistic operational workplace conditions. This must cover all aspects of workplace performance, including env</w:t>
      </w:r>
      <w:r w:rsidRPr="00E50A38">
        <w:t>ironment, task skills, task management skills, contingency management skills and job role environment skills</w:t>
      </w:r>
    </w:p>
    <w:p w:rsidR="00000000" w:rsidRPr="00E50A38" w:rsidP="00E50A38">
      <w:pPr>
        <w:pStyle w:val="ListBullet"/>
      </w:pPr>
      <w:r w:rsidRPr="00E50A38">
        <w:t>Conditions for assessment must include access to all tools, equipment, materials and documentation required, including relevant workplace procedure</w:t>
      </w:r>
      <w:r w:rsidRPr="00E50A38">
        <w:t>s, product and manufacturing specifications</w:t>
      </w:r>
    </w:p>
    <w:p w:rsidR="00000000" w:rsidRPr="00E50A38" w:rsidP="00E50A38">
      <w:pPr>
        <w:pStyle w:val="ListBullet"/>
      </w:pPr>
      <w:r w:rsidRPr="00E50A38">
        <w:t>Assessment processes and techniques must be appropriate to the language, literacy and numeracy requirements of the work being performed and the needs of the candidate.</w:t>
      </w:r>
    </w:p>
    <w:p w:rsidR="00000000" w:rsidRPr="00E50A38" w:rsidP="00E50A38">
      <w:pPr>
        <w:pStyle w:val="AllowPageBreak"/>
      </w:pPr>
    </w:p>
    <w:p w:rsidR="00000000" w:rsidRPr="00E50A38" w:rsidP="00E50A38">
      <w:pPr>
        <w:pStyle w:val="Heading1"/>
      </w:pPr>
      <w:bookmarkStart w:id="5" w:name="O_951516"/>
      <w:bookmarkEnd w:id="5"/>
      <w:r w:rsidRPr="00E50A38">
        <w:t>Links</w:t>
      </w:r>
    </w:p>
    <w:p w:rsidR="00000000" w:rsidRPr="00E50A38" w:rsidP="00F36441">
      <w:pPr>
        <w:pStyle w:val="BodyText"/>
      </w:pPr>
      <w:r w:rsidRPr="00E50A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9145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50A38" w:rsidP="00E50A38"/>
    <w:sectPr w:rsidSect="00E50A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38" w:rsidRPr="00F36441" w:rsidP="00F36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41" w:rsidP="00E50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6441" w:rsidP="00E50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36441" w:rsidP="00E50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A38" w:rsidRPr="00F36441" w:rsidP="00F36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41" w:rsidRPr="002D2AF8" w:rsidP="00E50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MEM21022 Manufacture watch and clock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36441" w:rsidP="00E50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405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B69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7CAC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A38"/>
  </w:style>
  <w:style w:type="character" w:customStyle="1" w:styleId="Heading1Char">
    <w:name w:val="Heading 1 Char"/>
    <w:basedOn w:val="DefaultParagraphFont"/>
    <w:link w:val="Heading1"/>
    <w:rsid w:val="00E50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A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A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0A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0A38"/>
    <w:rPr>
      <w:i/>
    </w:rPr>
  </w:style>
  <w:style w:type="paragraph" w:customStyle="1" w:styleId="SuperHeading">
    <w:name w:val="SuperHeading"/>
    <w:basedOn w:val="Normal"/>
    <w:rsid w:val="00E50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A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0A38"/>
    <w:rPr>
      <w:b/>
      <w:spacing w:val="0"/>
    </w:rPr>
  </w:style>
  <w:style w:type="paragraph" w:customStyle="1" w:styleId="SuperTitle">
    <w:name w:val="SuperTitle"/>
    <w:basedOn w:val="Title"/>
    <w:rsid w:val="00E50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A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A38"/>
  </w:style>
  <w:style w:type="paragraph" w:styleId="TableofFigures">
    <w:name w:val="table of figures"/>
    <w:basedOn w:val="Normal"/>
    <w:next w:val="Normal"/>
    <w:semiHidden/>
    <w:rsid w:val="00E50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A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A38"/>
    <w:rPr>
      <w:rFonts w:ascii="Wingdings" w:hAnsi="Wingdings"/>
    </w:rPr>
  </w:style>
  <w:style w:type="paragraph" w:customStyle="1" w:styleId="TableHeading">
    <w:name w:val="Table Heading"/>
    <w:basedOn w:val="HeadingBase"/>
    <w:rsid w:val="00E50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A38"/>
    <w:rPr>
      <w:color w:val="0033CC"/>
      <w:u w:val="none"/>
    </w:rPr>
  </w:style>
  <w:style w:type="paragraph" w:customStyle="1" w:styleId="BodyTextRight">
    <w:name w:val="Body Text Right"/>
    <w:basedOn w:val="BodyText"/>
    <w:rsid w:val="00E50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A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A38"/>
    <w:rPr>
      <w:sz w:val="32"/>
    </w:rPr>
  </w:style>
  <w:style w:type="paragraph" w:customStyle="1" w:styleId="HeadingProcedure">
    <w:name w:val="Heading Procedure"/>
    <w:basedOn w:val="HeadingBase"/>
    <w:next w:val="Normal"/>
    <w:rsid w:val="00E50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A38"/>
    <w:pPr>
      <w:spacing w:before="60" w:after="60"/>
    </w:pPr>
  </w:style>
  <w:style w:type="paragraph" w:styleId="ListContinue">
    <w:name w:val="List Continue"/>
    <w:basedOn w:val="List"/>
    <w:rsid w:val="00E50A38"/>
    <w:pPr>
      <w:ind w:firstLine="0"/>
    </w:pPr>
  </w:style>
  <w:style w:type="paragraph" w:customStyle="1" w:styleId="ListNote">
    <w:name w:val="List Note"/>
    <w:basedOn w:val="List"/>
    <w:rsid w:val="00E50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A38"/>
    <w:rPr>
      <w:rFonts w:ascii="Courier New" w:hAnsi="Courier New"/>
    </w:rPr>
  </w:style>
  <w:style w:type="paragraph" w:customStyle="1" w:styleId="NoteBullet">
    <w:name w:val="Note Bullet"/>
    <w:basedOn w:val="Note"/>
    <w:rsid w:val="00E50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A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A38"/>
    <w:rPr>
      <w:b/>
      <w:smallCaps/>
    </w:rPr>
  </w:style>
  <w:style w:type="paragraph" w:customStyle="1" w:styleId="TableListNumber">
    <w:name w:val="Table List Number"/>
    <w:basedOn w:val="ListNumber"/>
    <w:rsid w:val="00E50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A38"/>
    <w:pPr>
      <w:numPr>
        <w:numId w:val="9"/>
      </w:numPr>
    </w:pPr>
  </w:style>
  <w:style w:type="paragraph" w:customStyle="1" w:styleId="ListAlpha2">
    <w:name w:val="List Alpha 2"/>
    <w:basedOn w:val="List2"/>
    <w:rsid w:val="00E50A38"/>
    <w:pPr>
      <w:numPr>
        <w:numId w:val="8"/>
      </w:numPr>
    </w:pPr>
  </w:style>
  <w:style w:type="paragraph" w:styleId="List2">
    <w:name w:val="List 2"/>
    <w:basedOn w:val="BodyText"/>
    <w:rsid w:val="00E50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A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A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A38"/>
    <w:pPr>
      <w:numPr>
        <w:numId w:val="4"/>
      </w:numPr>
    </w:pPr>
  </w:style>
  <w:style w:type="paragraph" w:styleId="ListContinue2">
    <w:name w:val="List Continue 2"/>
    <w:basedOn w:val="List2"/>
    <w:rsid w:val="00E50A38"/>
    <w:pPr>
      <w:ind w:firstLine="0"/>
    </w:pPr>
  </w:style>
  <w:style w:type="paragraph" w:styleId="ListContinue3">
    <w:name w:val="List Continue 3"/>
    <w:basedOn w:val="List3"/>
    <w:rsid w:val="00E50A38"/>
    <w:pPr>
      <w:ind w:left="1021" w:firstLine="0"/>
    </w:pPr>
  </w:style>
  <w:style w:type="paragraph" w:styleId="ListContinue4">
    <w:name w:val="List Continue 4"/>
    <w:basedOn w:val="List4"/>
    <w:rsid w:val="00E50A38"/>
    <w:pPr>
      <w:ind w:firstLine="0"/>
    </w:pPr>
  </w:style>
  <w:style w:type="paragraph" w:styleId="ListContinue5">
    <w:name w:val="List Continue 5"/>
    <w:basedOn w:val="List5"/>
    <w:rsid w:val="00E50A38"/>
    <w:pPr>
      <w:ind w:firstLine="0"/>
    </w:pPr>
  </w:style>
  <w:style w:type="paragraph" w:styleId="ListNumber3">
    <w:name w:val="List Number 3"/>
    <w:basedOn w:val="List3"/>
    <w:rsid w:val="00E50A38"/>
    <w:pPr>
      <w:numPr>
        <w:numId w:val="5"/>
      </w:numPr>
    </w:pPr>
  </w:style>
  <w:style w:type="paragraph" w:styleId="ListNumber4">
    <w:name w:val="List Number 4"/>
    <w:basedOn w:val="List4"/>
    <w:rsid w:val="00E50A38"/>
    <w:pPr>
      <w:numPr>
        <w:numId w:val="6"/>
      </w:numPr>
    </w:pPr>
  </w:style>
  <w:style w:type="paragraph" w:styleId="ListNumber5">
    <w:name w:val="List Number 5"/>
    <w:basedOn w:val="List5"/>
    <w:rsid w:val="00E50A38"/>
    <w:pPr>
      <w:numPr>
        <w:numId w:val="7"/>
      </w:numPr>
    </w:pPr>
  </w:style>
  <w:style w:type="paragraph" w:styleId="BlockText">
    <w:name w:val="Block Text"/>
    <w:basedOn w:val="Normal"/>
    <w:rsid w:val="00E50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A38"/>
    <w:rPr>
      <w:sz w:val="16"/>
      <w:vertAlign w:val="superscript"/>
    </w:rPr>
  </w:style>
  <w:style w:type="character" w:customStyle="1" w:styleId="Symbols">
    <w:name w:val="Symbols"/>
    <w:basedOn w:val="DefaultParagraphFont"/>
    <w:rsid w:val="00E50A38"/>
    <w:rPr>
      <w:rFonts w:ascii="Symbol" w:hAnsi="Symbol"/>
    </w:rPr>
  </w:style>
  <w:style w:type="character" w:customStyle="1" w:styleId="MenuOptions">
    <w:name w:val="Menu Options"/>
    <w:basedOn w:val="DefaultParagraphFont"/>
    <w:rsid w:val="00E50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A38"/>
    <w:rPr>
      <w:b/>
    </w:rPr>
  </w:style>
  <w:style w:type="character" w:customStyle="1" w:styleId="Underlined">
    <w:name w:val="Underlined"/>
    <w:basedOn w:val="DefaultParagraphFont"/>
    <w:rsid w:val="00E50A38"/>
    <w:rPr>
      <w:u w:val="single"/>
    </w:rPr>
  </w:style>
  <w:style w:type="paragraph" w:customStyle="1" w:styleId="TableBodyTextRight">
    <w:name w:val="Table Body Text Right"/>
    <w:basedOn w:val="TableBodyText"/>
    <w:rsid w:val="00E50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A38"/>
    <w:rPr>
      <w:sz w:val="18"/>
    </w:rPr>
  </w:style>
  <w:style w:type="paragraph" w:customStyle="1" w:styleId="BodySmallRight">
    <w:name w:val="Body Small Right"/>
    <w:basedOn w:val="BodyTextRight"/>
    <w:rsid w:val="00E50A38"/>
    <w:rPr>
      <w:sz w:val="18"/>
      <w:szCs w:val="18"/>
    </w:rPr>
  </w:style>
  <w:style w:type="paragraph" w:customStyle="1" w:styleId="MarginEdition">
    <w:name w:val="Margin Edition"/>
    <w:basedOn w:val="MarginNote"/>
    <w:rsid w:val="00E50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A38"/>
    <w:rPr>
      <w:sz w:val="2"/>
      <w:szCs w:val="2"/>
    </w:rPr>
  </w:style>
  <w:style w:type="character" w:customStyle="1" w:styleId="Small">
    <w:name w:val="Small"/>
    <w:basedOn w:val="DefaultParagraphFont"/>
    <w:rsid w:val="00E50A38"/>
    <w:rPr>
      <w:sz w:val="16"/>
    </w:rPr>
  </w:style>
  <w:style w:type="paragraph" w:customStyle="1" w:styleId="WideTable">
    <w:name w:val="Wide Table"/>
    <w:basedOn w:val="Normal"/>
    <w:rsid w:val="00E50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A38"/>
  </w:style>
  <w:style w:type="paragraph" w:styleId="Quote">
    <w:name w:val="Quote"/>
    <w:basedOn w:val="Heading1"/>
    <w:link w:val="QuoteChar"/>
    <w:qFormat/>
    <w:rsid w:val="00E50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A38"/>
    <w:pPr>
      <w:pageBreakBefore/>
    </w:pPr>
  </w:style>
  <w:style w:type="paragraph" w:customStyle="1" w:styleId="Border">
    <w:name w:val="Border"/>
    <w:basedOn w:val="Normal"/>
    <w:qFormat/>
    <w:rsid w:val="00E50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A38"/>
    <w:rPr>
      <w:u w:val="single"/>
    </w:rPr>
  </w:style>
  <w:style w:type="character" w:customStyle="1" w:styleId="BoldandItalics">
    <w:name w:val="Bold and Italics"/>
    <w:qFormat/>
    <w:rsid w:val="00E50A38"/>
    <w:rPr>
      <w:b/>
      <w:i/>
      <w:u w:val="none"/>
    </w:rPr>
  </w:style>
  <w:style w:type="paragraph" w:styleId="BalloonText">
    <w:name w:val="Balloon Text"/>
    <w:basedOn w:val="Normal"/>
    <w:link w:val="BalloonTextChar"/>
    <w:rsid w:val="00E50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A38"/>
    <w:pPr>
      <w:spacing w:before="0" w:after="0"/>
    </w:pPr>
  </w:style>
  <w:style w:type="paragraph" w:customStyle="1" w:styleId="BodyTextBold">
    <w:name w:val="Body Text Bold"/>
    <w:basedOn w:val="BodyText"/>
    <w:qFormat/>
    <w:rsid w:val="00E50A38"/>
    <w:rPr>
      <w:b/>
    </w:rPr>
  </w:style>
  <w:style w:type="character" w:styleId="Hyperlink">
    <w:name w:val="Hyperlink"/>
    <w:basedOn w:val="DefaultParagraphFont"/>
    <w:uiPriority w:val="99"/>
    <w:unhideWhenUsed/>
    <w:rsid w:val="00F36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3350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MEM21022 Manufacture watch and clock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