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3A9D" w:rsidP="00073A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MEM21021 Restore clockwork mechanisms</w:t>
      </w:r>
      <w:r>
        <w:fldChar w:fldCharType="end"/>
      </w:r>
    </w:p>
    <w:p w:rsidR="00073A9D" w:rsidP="00073A9D">
      <w:pPr>
        <w:pStyle w:val="Version"/>
        <w:sectPr w:rsidSect="00387C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7C76" w:rsidP="00387C76">
      <w:pPr>
        <w:pStyle w:val="SuperHeading"/>
      </w:pPr>
      <w:r w:rsidRPr="00387C76">
        <w:t>Assessment Requirements for MEM21021 Restore clockwork mechanisms</w:t>
      </w:r>
    </w:p>
    <w:p w:rsidR="00000000" w:rsidRPr="00387C76" w:rsidP="00387C76">
      <w:pPr>
        <w:pStyle w:val="Heading1"/>
      </w:pPr>
      <w:bookmarkStart w:id="1" w:name="O_951498"/>
      <w:bookmarkEnd w:id="1"/>
      <w:r w:rsidRPr="00387C76">
        <w:t>Modification History</w:t>
      </w:r>
    </w:p>
    <w:p w:rsidR="00000000" w:rsidRPr="00387C76" w:rsidP="00073A9D">
      <w:pPr>
        <w:pStyle w:val="BodyText"/>
      </w:pPr>
      <w:r w:rsidRPr="00387C76">
        <w:t xml:space="preserve">Release 1. Supersedes and is equivalent to MEM21021A Restore clockwork mechanisms </w:t>
      </w:r>
    </w:p>
    <w:p w:rsidR="00000000" w:rsidRPr="00387C76" w:rsidP="00387C76">
      <w:pPr>
        <w:pStyle w:val="Heading1"/>
      </w:pPr>
      <w:bookmarkStart w:id="2" w:name="O_951501"/>
      <w:bookmarkEnd w:id="2"/>
      <w:r w:rsidRPr="00387C76">
        <w:t>Performance Evidence</w:t>
      </w:r>
    </w:p>
    <w:p w:rsidR="00000000" w:rsidRPr="00387C76" w:rsidP="00073A9D">
      <w:pPr>
        <w:pStyle w:val="BodyText"/>
      </w:pPr>
      <w:r w:rsidRPr="00387C76">
        <w:t>Evidence required to demonstrate competence in this unit must be relevant to and satisfy the requirements of the elements and performance criteria on at least two (2) occasions and include:</w:t>
      </w:r>
    </w:p>
    <w:p w:rsidR="00000000" w:rsidRPr="00387C76" w:rsidP="00387C76">
      <w:pPr>
        <w:pStyle w:val="ListBullet"/>
      </w:pPr>
      <w:r w:rsidRPr="00387C76">
        <w:t>following work instructions, standard operating procedures (SOPs)</w:t>
      </w:r>
      <w:r w:rsidRPr="00387C76">
        <w:t xml:space="preserve"> and safe work practices </w:t>
      </w:r>
    </w:p>
    <w:p w:rsidR="00000000" w:rsidRPr="00387C76" w:rsidP="00387C76">
      <w:pPr>
        <w:pStyle w:val="ListBullet"/>
      </w:pPr>
      <w:r w:rsidRPr="00387C76">
        <w:t xml:space="preserve">identifying missing damaged or worn parts </w:t>
      </w:r>
    </w:p>
    <w:p w:rsidR="00000000" w:rsidRPr="00387C76" w:rsidP="00387C76">
      <w:pPr>
        <w:pStyle w:val="ListBullet"/>
      </w:pPr>
      <w:r w:rsidRPr="00387C76">
        <w:t>liaising with customer, identifying restoration costs and planning and conducting repairs to maintain originality of timepiece</w:t>
      </w:r>
    </w:p>
    <w:p w:rsidR="00000000" w:rsidRPr="00387C76" w:rsidP="00387C76">
      <w:pPr>
        <w:pStyle w:val="ListBullet"/>
      </w:pPr>
      <w:r w:rsidRPr="00387C76">
        <w:t>servicing and repairing power equalisation devices, includin</w:t>
      </w:r>
      <w:r w:rsidRPr="00387C76">
        <w:t>g dismantling, assembling and setting up fusee systems</w:t>
      </w:r>
    </w:p>
    <w:p w:rsidR="00000000" w:rsidRPr="00387C76" w:rsidP="00387C76">
      <w:pPr>
        <w:pStyle w:val="ListBullet"/>
      </w:pPr>
      <w:r w:rsidRPr="00387C76">
        <w:t xml:space="preserve">using appropriate tools and equipment for restoration work </w:t>
      </w:r>
    </w:p>
    <w:p w:rsidR="00000000" w:rsidRPr="00387C76" w:rsidP="00387C76">
      <w:pPr>
        <w:pStyle w:val="ListBullet"/>
      </w:pPr>
      <w:r w:rsidRPr="00387C76">
        <w:t xml:space="preserve">preparing and using working drawings and templates to manufacture components by hand </w:t>
      </w:r>
    </w:p>
    <w:p w:rsidR="00000000" w:rsidRPr="00387C76" w:rsidP="00387C76">
      <w:pPr>
        <w:pStyle w:val="ListBullet"/>
      </w:pPr>
      <w:r w:rsidRPr="00387C76">
        <w:t>applying appropriate heat treatment process and refinis</w:t>
      </w:r>
      <w:r w:rsidRPr="00387C76">
        <w:t>h manufacture process to achieve desired result and verifying correct function of manufactured components</w:t>
      </w:r>
    </w:p>
    <w:p w:rsidR="00000000" w:rsidRPr="00387C76" w:rsidP="00387C76">
      <w:pPr>
        <w:pStyle w:val="ListBullet"/>
      </w:pPr>
      <w:r w:rsidRPr="00387C76">
        <w:t>repairing gears, wheels and arbors and test run with matched component</w:t>
      </w:r>
    </w:p>
    <w:p w:rsidR="00000000" w:rsidRPr="00387C76" w:rsidP="00387C76">
      <w:pPr>
        <w:pStyle w:val="ListBullet"/>
      </w:pPr>
      <w:r w:rsidRPr="00387C76">
        <w:t>recording and documenting repairs.</w:t>
      </w:r>
    </w:p>
    <w:p w:rsidR="00000000" w:rsidRPr="00387C76" w:rsidP="00387C76">
      <w:pPr>
        <w:pStyle w:val="AllowPageBreak"/>
      </w:pPr>
    </w:p>
    <w:p w:rsidR="00000000" w:rsidRPr="00387C76" w:rsidP="00387C76">
      <w:pPr>
        <w:pStyle w:val="Heading1"/>
      </w:pPr>
      <w:bookmarkStart w:id="3" w:name="O_951500"/>
      <w:bookmarkEnd w:id="3"/>
      <w:r w:rsidRPr="00387C76">
        <w:t>Knowledge Evidence</w:t>
      </w:r>
    </w:p>
    <w:p w:rsidR="00000000" w:rsidRPr="00387C76" w:rsidP="00073A9D">
      <w:pPr>
        <w:pStyle w:val="BodyText"/>
      </w:pPr>
      <w:r w:rsidRPr="00387C76">
        <w:t>Evidence</w:t>
      </w:r>
      <w:r w:rsidRPr="00387C76">
        <w:t xml:space="preserve"> required to demonstrate the required knowledge for this unit must be relevant to and satisfy the requirements of the elements and performance criteria and include knowledge of:</w:t>
      </w:r>
    </w:p>
    <w:p w:rsidR="00000000" w:rsidRPr="00387C76" w:rsidP="00387C76">
      <w:pPr>
        <w:pStyle w:val="ListBullet"/>
      </w:pPr>
      <w:r w:rsidRPr="00387C76">
        <w:t>safe work practices and procedures and use of personal protective equipment (</w:t>
      </w:r>
      <w:r w:rsidRPr="00387C76">
        <w:t>PPE)</w:t>
      </w:r>
    </w:p>
    <w:p w:rsidR="00000000" w:rsidRPr="00387C76" w:rsidP="00387C76">
      <w:pPr>
        <w:pStyle w:val="ListBullet"/>
      </w:pPr>
      <w:r w:rsidRPr="00387C76">
        <w:t>clock design and manufacture</w:t>
      </w:r>
    </w:p>
    <w:p w:rsidR="00000000" w:rsidRPr="00387C76" w:rsidP="00387C76">
      <w:pPr>
        <w:pStyle w:val="ListBullet"/>
      </w:pPr>
      <w:r w:rsidRPr="00387C76">
        <w:t>design and drawing of replacement parts</w:t>
      </w:r>
    </w:p>
    <w:p w:rsidR="00000000" w:rsidRPr="00387C76" w:rsidP="00387C76">
      <w:pPr>
        <w:pStyle w:val="ListBullet"/>
      </w:pPr>
      <w:r w:rsidRPr="00387C76">
        <w:t>techniques for manufacturing replacement parts</w:t>
      </w:r>
    </w:p>
    <w:p w:rsidR="00000000" w:rsidRPr="00387C76" w:rsidP="00387C76">
      <w:pPr>
        <w:pStyle w:val="ListBullet"/>
      </w:pPr>
      <w:r w:rsidRPr="00387C76">
        <w:t>gear forms (cycloidal and involute)</w:t>
      </w:r>
    </w:p>
    <w:p w:rsidR="00000000" w:rsidRPr="00387C76" w:rsidP="00387C76">
      <w:pPr>
        <w:pStyle w:val="ListBullet"/>
      </w:pPr>
      <w:r w:rsidRPr="00387C76">
        <w:t>gear terminology (pitch and root diameter)</w:t>
      </w:r>
    </w:p>
    <w:p w:rsidR="00000000" w:rsidRPr="00387C76" w:rsidP="00387C76">
      <w:pPr>
        <w:pStyle w:val="ListBullet"/>
      </w:pPr>
      <w:r w:rsidRPr="00387C76">
        <w:t>types and uses of files, including shapes and cuts</w:t>
      </w:r>
    </w:p>
    <w:p w:rsidR="00000000" w:rsidRPr="00387C76" w:rsidP="00387C76">
      <w:pPr>
        <w:pStyle w:val="ListBullet"/>
      </w:pPr>
      <w:r w:rsidRPr="00387C76">
        <w:t>jeweller saws and blades</w:t>
      </w:r>
    </w:p>
    <w:p w:rsidR="00000000" w:rsidRPr="00387C76" w:rsidP="00387C76">
      <w:pPr>
        <w:pStyle w:val="ListBullet"/>
      </w:pPr>
      <w:r w:rsidRPr="00387C76">
        <w:t>metal types and applications to clock components</w:t>
      </w:r>
    </w:p>
    <w:p w:rsidR="00000000" w:rsidRPr="00387C76" w:rsidP="00387C76">
      <w:pPr>
        <w:pStyle w:val="ListBullet"/>
      </w:pPr>
      <w:r w:rsidRPr="00387C76">
        <w:t>power equalisation devices and their function</w:t>
      </w:r>
    </w:p>
    <w:p w:rsidR="00000000" w:rsidRPr="00387C76" w:rsidP="00387C76">
      <w:pPr>
        <w:pStyle w:val="ListBullet"/>
      </w:pPr>
      <w:r w:rsidRPr="00387C76">
        <w:t>finishing and polishing techniques and media.</w:t>
      </w:r>
    </w:p>
    <w:p w:rsidR="00000000" w:rsidRPr="00387C76" w:rsidP="00387C76">
      <w:pPr>
        <w:pStyle w:val="AllowPageBreak"/>
      </w:pPr>
    </w:p>
    <w:p w:rsidR="00000000" w:rsidRPr="00387C76" w:rsidP="00387C76">
      <w:pPr>
        <w:pStyle w:val="Heading1"/>
      </w:pPr>
      <w:bookmarkStart w:id="4" w:name="O_951499"/>
      <w:bookmarkEnd w:id="4"/>
      <w:r w:rsidRPr="00387C76">
        <w:t>Assessment Conditions</w:t>
      </w:r>
    </w:p>
    <w:p w:rsidR="00000000" w:rsidRPr="00387C76" w:rsidP="00387C76">
      <w:pPr>
        <w:pStyle w:val="ListBullet"/>
      </w:pPr>
      <w:r w:rsidRPr="00387C76">
        <w:t>Assessors must:</w:t>
      </w:r>
    </w:p>
    <w:p w:rsidR="00000000" w:rsidRPr="00387C76" w:rsidP="00387C76">
      <w:pPr>
        <w:pStyle w:val="ListBullet2"/>
      </w:pPr>
      <w:r w:rsidRPr="00387C76">
        <w:t>have vocational competency in res</w:t>
      </w:r>
      <w:r w:rsidRPr="00387C76">
        <w:t>toring clockwork mechanisms at least to the level being assessed with relevant industry knowledge and experience</w:t>
      </w:r>
    </w:p>
    <w:p w:rsidR="00000000" w:rsidRPr="00387C76" w:rsidP="00387C76">
      <w:pPr>
        <w:pStyle w:val="ListBullet2"/>
      </w:pPr>
      <w:r w:rsidRPr="00387C76">
        <w:t xml:space="preserve">satisfy the assessor requirements in the </w:t>
      </w:r>
      <w:r w:rsidRPr="00387C76">
        <w:rPr>
          <w:rStyle w:val="Emphasis"/>
        </w:rPr>
        <w:t xml:space="preserve">Standards for Registered Training Organisations 2015 </w:t>
      </w:r>
      <w:r w:rsidRPr="00387C76">
        <w:t>or its replacement</w:t>
      </w:r>
      <w:r w:rsidRPr="00387C76">
        <w:rPr>
          <w:rStyle w:val="Emphasis"/>
        </w:rPr>
        <w:t xml:space="preserve"> </w:t>
      </w:r>
      <w:r w:rsidRPr="00387C76">
        <w:t xml:space="preserve">and comply with the </w:t>
      </w:r>
      <w:r w:rsidRPr="00387C76">
        <w:rPr>
          <w:rStyle w:val="Emphasis"/>
        </w:rPr>
        <w:t>National V</w:t>
      </w:r>
      <w:r w:rsidRPr="00387C76">
        <w:rPr>
          <w:rStyle w:val="Emphasis"/>
        </w:rPr>
        <w:t xml:space="preserve">ocational Education and Training Regulator Act 2011, </w:t>
      </w:r>
      <w:r w:rsidRPr="00387C76">
        <w:t>its replacement</w:t>
      </w:r>
      <w:r w:rsidRPr="00387C76">
        <w:rPr>
          <w:rStyle w:val="Emphasis"/>
        </w:rPr>
        <w:t xml:space="preserve"> </w:t>
      </w:r>
      <w:r w:rsidRPr="00387C76">
        <w:t>or equivalent legislation covering VET regulation in a non-referring state/territory as the case requires</w:t>
      </w:r>
    </w:p>
    <w:p w:rsidR="00000000" w:rsidRPr="00387C76" w:rsidP="00387C76">
      <w:pPr>
        <w:pStyle w:val="ListBullet"/>
      </w:pPr>
      <w:r w:rsidRPr="00387C76">
        <w:t xml:space="preserve">Where possible assessment must occur in operational workplace situations. Where </w:t>
      </w:r>
      <w:r w:rsidRPr="00387C76">
        <w:t>this is not possible or where personal safety or environmental damage are limiting factors, assessment must occur in a sufficiently rigorous simulated environment that reflects realistic operational workplace conditions. This must cover all aspects of work</w:t>
      </w:r>
      <w:r w:rsidRPr="00387C76">
        <w:t>place performance, including environment, task skills, task management skills, contingency management skills and job role environment skills</w:t>
      </w:r>
    </w:p>
    <w:p w:rsidR="00000000" w:rsidRPr="00387C76" w:rsidP="00387C76">
      <w:pPr>
        <w:pStyle w:val="ListBullet"/>
      </w:pPr>
      <w:r w:rsidRPr="00387C76">
        <w:t>Conditions for assessment must include access to all tools, equipment, materials and documentation required, includ</w:t>
      </w:r>
      <w:r w:rsidRPr="00387C76">
        <w:t>ing relevant workplace procedures, product and manufacturing specifications</w:t>
      </w:r>
    </w:p>
    <w:p w:rsidR="00000000" w:rsidRPr="00387C76" w:rsidP="00387C76">
      <w:pPr>
        <w:pStyle w:val="ListBullet"/>
      </w:pPr>
      <w:r w:rsidRPr="00387C76">
        <w:t>Assessment processes and techniques must be appropriate to the language, literacy and numeracy requirements of the work being performed and the needs of the candidate.</w:t>
      </w:r>
    </w:p>
    <w:p w:rsidR="00000000" w:rsidRPr="00387C76" w:rsidP="00387C76">
      <w:pPr>
        <w:pStyle w:val="AllowPageBreak"/>
      </w:pPr>
    </w:p>
    <w:p w:rsidR="00000000" w:rsidRPr="00387C76" w:rsidP="00387C76">
      <w:pPr>
        <w:pStyle w:val="Heading1"/>
      </w:pPr>
      <w:bookmarkStart w:id="5" w:name="O_951497"/>
      <w:bookmarkEnd w:id="5"/>
      <w:r w:rsidRPr="00387C76">
        <w:t>Links</w:t>
      </w:r>
    </w:p>
    <w:p w:rsidR="00000000" w:rsidRPr="00387C76" w:rsidP="00073A9D">
      <w:pPr>
        <w:pStyle w:val="BodyText"/>
      </w:pPr>
      <w:r w:rsidRPr="00387C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C3E8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87C76" w:rsidP="00387C76"/>
    <w:sectPr w:rsidSect="00387C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C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C76" w:rsidRPr="00073A9D" w:rsidP="00073A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C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A9D" w:rsidP="00387C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3A9D" w:rsidP="00387C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73A9D" w:rsidP="00387C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C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A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7C76" w:rsidRPr="00073A9D" w:rsidP="00073A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C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A9D" w:rsidRPr="002D2AF8" w:rsidP="00387C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MEM21021 Restore clockwork mechanisms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73A9D" w:rsidP="00387C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38CD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486B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960C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C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7C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7C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7C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7C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7C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7C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7C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7C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7C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7C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7C76"/>
  </w:style>
  <w:style w:type="character" w:customStyle="1" w:styleId="Heading1Char">
    <w:name w:val="Heading 1 Char"/>
    <w:basedOn w:val="DefaultParagraphFont"/>
    <w:link w:val="Heading1"/>
    <w:rsid w:val="00387C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7C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7C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7C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7C7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87C76"/>
    <w:rPr>
      <w:i/>
    </w:rPr>
  </w:style>
  <w:style w:type="paragraph" w:customStyle="1" w:styleId="SuperHeading">
    <w:name w:val="SuperHeading"/>
    <w:basedOn w:val="Normal"/>
    <w:rsid w:val="00387C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7C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7C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7C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7C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7C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7C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7C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7C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7C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7C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7C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7C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7C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7C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7C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7C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7C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7C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7C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7C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7C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7C76"/>
    <w:rPr>
      <w:b/>
      <w:spacing w:val="0"/>
    </w:rPr>
  </w:style>
  <w:style w:type="paragraph" w:customStyle="1" w:styleId="SuperTitle">
    <w:name w:val="SuperTitle"/>
    <w:basedOn w:val="Title"/>
    <w:rsid w:val="00387C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7C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7C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7C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7C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7C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7C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7C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7C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7C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7C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7C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7C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7C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7C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7C76"/>
  </w:style>
  <w:style w:type="paragraph" w:styleId="TableofFigures">
    <w:name w:val="table of figures"/>
    <w:basedOn w:val="Normal"/>
    <w:next w:val="Normal"/>
    <w:semiHidden/>
    <w:rsid w:val="00387C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7C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7C76"/>
    <w:rPr>
      <w:rFonts w:ascii="Wingdings" w:hAnsi="Wingdings"/>
    </w:rPr>
  </w:style>
  <w:style w:type="paragraph" w:customStyle="1" w:styleId="TableHeading">
    <w:name w:val="Table Heading"/>
    <w:basedOn w:val="HeadingBase"/>
    <w:rsid w:val="00387C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7C76"/>
    <w:rPr>
      <w:color w:val="0033CC"/>
      <w:u w:val="none"/>
    </w:rPr>
  </w:style>
  <w:style w:type="paragraph" w:customStyle="1" w:styleId="BodyTextRight">
    <w:name w:val="Body Text Right"/>
    <w:basedOn w:val="BodyText"/>
    <w:rsid w:val="00387C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7C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7C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7C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7C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7C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7C76"/>
    <w:rPr>
      <w:sz w:val="32"/>
    </w:rPr>
  </w:style>
  <w:style w:type="paragraph" w:customStyle="1" w:styleId="HeadingProcedure">
    <w:name w:val="Heading Procedure"/>
    <w:basedOn w:val="HeadingBase"/>
    <w:next w:val="Normal"/>
    <w:rsid w:val="00387C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7C76"/>
    <w:pPr>
      <w:spacing w:before="60" w:after="60"/>
    </w:pPr>
  </w:style>
  <w:style w:type="paragraph" w:styleId="ListContinue">
    <w:name w:val="List Continue"/>
    <w:basedOn w:val="List"/>
    <w:rsid w:val="00387C76"/>
    <w:pPr>
      <w:ind w:firstLine="0"/>
    </w:pPr>
  </w:style>
  <w:style w:type="paragraph" w:customStyle="1" w:styleId="ListNote">
    <w:name w:val="List Note"/>
    <w:basedOn w:val="List"/>
    <w:rsid w:val="00387C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7C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7C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7C76"/>
    <w:rPr>
      <w:rFonts w:ascii="Courier New" w:hAnsi="Courier New"/>
    </w:rPr>
  </w:style>
  <w:style w:type="paragraph" w:customStyle="1" w:styleId="NoteBullet">
    <w:name w:val="Note Bullet"/>
    <w:basedOn w:val="Note"/>
    <w:rsid w:val="00387C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7C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7C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7C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7C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7C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7C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7C76"/>
    <w:rPr>
      <w:b/>
      <w:smallCaps/>
    </w:rPr>
  </w:style>
  <w:style w:type="paragraph" w:customStyle="1" w:styleId="TableListNumber">
    <w:name w:val="Table List Number"/>
    <w:basedOn w:val="ListNumber"/>
    <w:rsid w:val="00387C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7C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7C76"/>
    <w:pPr>
      <w:numPr>
        <w:numId w:val="9"/>
      </w:numPr>
    </w:pPr>
  </w:style>
  <w:style w:type="paragraph" w:customStyle="1" w:styleId="ListAlpha2">
    <w:name w:val="List Alpha 2"/>
    <w:basedOn w:val="List2"/>
    <w:rsid w:val="00387C76"/>
    <w:pPr>
      <w:numPr>
        <w:numId w:val="8"/>
      </w:numPr>
    </w:pPr>
  </w:style>
  <w:style w:type="paragraph" w:styleId="List2">
    <w:name w:val="List 2"/>
    <w:basedOn w:val="BodyText"/>
    <w:rsid w:val="00387C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7C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7C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7C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7C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7C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7C76"/>
    <w:pPr>
      <w:numPr>
        <w:numId w:val="4"/>
      </w:numPr>
    </w:pPr>
  </w:style>
  <w:style w:type="paragraph" w:styleId="ListContinue2">
    <w:name w:val="List Continue 2"/>
    <w:basedOn w:val="List2"/>
    <w:rsid w:val="00387C76"/>
    <w:pPr>
      <w:ind w:firstLine="0"/>
    </w:pPr>
  </w:style>
  <w:style w:type="paragraph" w:styleId="ListContinue3">
    <w:name w:val="List Continue 3"/>
    <w:basedOn w:val="List3"/>
    <w:rsid w:val="00387C76"/>
    <w:pPr>
      <w:ind w:left="1021" w:firstLine="0"/>
    </w:pPr>
  </w:style>
  <w:style w:type="paragraph" w:styleId="ListContinue4">
    <w:name w:val="List Continue 4"/>
    <w:basedOn w:val="List4"/>
    <w:rsid w:val="00387C76"/>
    <w:pPr>
      <w:ind w:firstLine="0"/>
    </w:pPr>
  </w:style>
  <w:style w:type="paragraph" w:styleId="ListContinue5">
    <w:name w:val="List Continue 5"/>
    <w:basedOn w:val="List5"/>
    <w:rsid w:val="00387C76"/>
    <w:pPr>
      <w:ind w:firstLine="0"/>
    </w:pPr>
  </w:style>
  <w:style w:type="paragraph" w:styleId="ListNumber3">
    <w:name w:val="List Number 3"/>
    <w:basedOn w:val="List3"/>
    <w:rsid w:val="00387C76"/>
    <w:pPr>
      <w:numPr>
        <w:numId w:val="5"/>
      </w:numPr>
    </w:pPr>
  </w:style>
  <w:style w:type="paragraph" w:styleId="ListNumber4">
    <w:name w:val="List Number 4"/>
    <w:basedOn w:val="List4"/>
    <w:rsid w:val="00387C76"/>
    <w:pPr>
      <w:numPr>
        <w:numId w:val="6"/>
      </w:numPr>
    </w:pPr>
  </w:style>
  <w:style w:type="paragraph" w:styleId="ListNumber5">
    <w:name w:val="List Number 5"/>
    <w:basedOn w:val="List5"/>
    <w:rsid w:val="00387C76"/>
    <w:pPr>
      <w:numPr>
        <w:numId w:val="7"/>
      </w:numPr>
    </w:pPr>
  </w:style>
  <w:style w:type="paragraph" w:styleId="BlockText">
    <w:name w:val="Block Text"/>
    <w:basedOn w:val="Normal"/>
    <w:rsid w:val="00387C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7C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7C76"/>
    <w:rPr>
      <w:sz w:val="16"/>
      <w:vertAlign w:val="superscript"/>
    </w:rPr>
  </w:style>
  <w:style w:type="character" w:customStyle="1" w:styleId="Symbols">
    <w:name w:val="Symbols"/>
    <w:basedOn w:val="DefaultParagraphFont"/>
    <w:rsid w:val="00387C76"/>
    <w:rPr>
      <w:rFonts w:ascii="Symbol" w:hAnsi="Symbol"/>
    </w:rPr>
  </w:style>
  <w:style w:type="character" w:customStyle="1" w:styleId="MenuOptions">
    <w:name w:val="Menu Options"/>
    <w:basedOn w:val="DefaultParagraphFont"/>
    <w:rsid w:val="00387C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7C76"/>
    <w:rPr>
      <w:b/>
    </w:rPr>
  </w:style>
  <w:style w:type="character" w:customStyle="1" w:styleId="Underlined">
    <w:name w:val="Underlined"/>
    <w:basedOn w:val="DefaultParagraphFont"/>
    <w:rsid w:val="00387C76"/>
    <w:rPr>
      <w:u w:val="single"/>
    </w:rPr>
  </w:style>
  <w:style w:type="paragraph" w:customStyle="1" w:styleId="TableBodyTextRight">
    <w:name w:val="Table Body Text Right"/>
    <w:basedOn w:val="TableBodyText"/>
    <w:rsid w:val="00387C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7C76"/>
    <w:rPr>
      <w:sz w:val="18"/>
    </w:rPr>
  </w:style>
  <w:style w:type="paragraph" w:customStyle="1" w:styleId="BodySmallRight">
    <w:name w:val="Body Small Right"/>
    <w:basedOn w:val="BodyTextRight"/>
    <w:rsid w:val="00387C76"/>
    <w:rPr>
      <w:sz w:val="18"/>
      <w:szCs w:val="18"/>
    </w:rPr>
  </w:style>
  <w:style w:type="paragraph" w:customStyle="1" w:styleId="MarginEdition">
    <w:name w:val="Margin Edition"/>
    <w:basedOn w:val="MarginNote"/>
    <w:rsid w:val="00387C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7C76"/>
    <w:rPr>
      <w:sz w:val="2"/>
      <w:szCs w:val="2"/>
    </w:rPr>
  </w:style>
  <w:style w:type="character" w:customStyle="1" w:styleId="Small">
    <w:name w:val="Small"/>
    <w:basedOn w:val="DefaultParagraphFont"/>
    <w:rsid w:val="00387C76"/>
    <w:rPr>
      <w:sz w:val="16"/>
    </w:rPr>
  </w:style>
  <w:style w:type="paragraph" w:customStyle="1" w:styleId="WideTable">
    <w:name w:val="Wide Table"/>
    <w:basedOn w:val="Normal"/>
    <w:rsid w:val="00387C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7C76"/>
  </w:style>
  <w:style w:type="paragraph" w:styleId="Quote">
    <w:name w:val="Quote"/>
    <w:basedOn w:val="Heading1"/>
    <w:link w:val="QuoteChar"/>
    <w:qFormat/>
    <w:rsid w:val="00387C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7C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7C76"/>
    <w:pPr>
      <w:pageBreakBefore/>
    </w:pPr>
  </w:style>
  <w:style w:type="paragraph" w:customStyle="1" w:styleId="Border">
    <w:name w:val="Border"/>
    <w:basedOn w:val="Normal"/>
    <w:qFormat/>
    <w:rsid w:val="00387C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7C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C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C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7C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7C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7C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7C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7C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7C76"/>
    <w:rPr>
      <w:u w:val="single"/>
    </w:rPr>
  </w:style>
  <w:style w:type="character" w:customStyle="1" w:styleId="BoldandItalics">
    <w:name w:val="Bold and Italics"/>
    <w:qFormat/>
    <w:rsid w:val="00387C76"/>
    <w:rPr>
      <w:b/>
      <w:i/>
      <w:u w:val="none"/>
    </w:rPr>
  </w:style>
  <w:style w:type="paragraph" w:styleId="BalloonText">
    <w:name w:val="Balloon Text"/>
    <w:basedOn w:val="Normal"/>
    <w:link w:val="BalloonTextChar"/>
    <w:rsid w:val="00387C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7C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7C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7C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7C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7C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7C76"/>
    <w:pPr>
      <w:spacing w:before="0" w:after="0"/>
    </w:pPr>
  </w:style>
  <w:style w:type="paragraph" w:customStyle="1" w:styleId="BodyTextBold">
    <w:name w:val="Body Text Bold"/>
    <w:basedOn w:val="BodyText"/>
    <w:qFormat/>
    <w:rsid w:val="00387C76"/>
    <w:rPr>
      <w:b/>
    </w:rPr>
  </w:style>
  <w:style w:type="character" w:styleId="Hyperlink">
    <w:name w:val="Hyperlink"/>
    <w:basedOn w:val="DefaultParagraphFont"/>
    <w:uiPriority w:val="99"/>
    <w:unhideWhenUsed/>
    <w:rsid w:val="00073A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3140</Characters>
  <Application>Microsoft Office Word</Application>
  <DocSecurity>0</DocSecurity>
  <Lines>68</Lines>
  <Paragraphs>45</Paragraphs>
  <ScaleCrop>false</ScaleCrop>
  <Company>Author-it Software Corporation Ltd.</Company>
  <LinksUpToDate>false</LinksUpToDate>
  <CharactersWithSpaces>3565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MEM21021 Restore clockwork mechanisms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2023-02-03T08:07:00Z</dcterms:created>
  <dcterms:modified xsi:type="dcterms:W3CDTF">2023-02-03T08:07:00Z</dcterms:modified>
</cp:coreProperties>
</file>