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1013" w:rsidP="00B41013">
      <w:pPr>
        <w:pStyle w:val="Title"/>
      </w:pPr>
      <w:r>
        <w:fldChar w:fldCharType="begin"/>
      </w:r>
      <w:r>
        <w:instrText xml:space="preserve"> TITLE   \* MERGEFORMAT </w:instrText>
      </w:r>
      <w:r>
        <w:fldChar w:fldCharType="separate"/>
      </w:r>
      <w:r>
        <w:t>MEM21016 Install and set up clocks</w:t>
      </w:r>
      <w:r>
        <w:fldChar w:fldCharType="end"/>
      </w:r>
    </w:p>
    <w:p w:rsidR="00B41013" w:rsidP="00B41013">
      <w:pPr>
        <w:pStyle w:val="Version"/>
        <w:sectPr w:rsidSect="00B8469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4690" w:rsidP="00B84690">
      <w:pPr>
        <w:pStyle w:val="SuperHeading"/>
      </w:pPr>
      <w:r w:rsidRPr="00B84690">
        <w:t>MEM21016 Install and set up clocks</w:t>
      </w:r>
    </w:p>
    <w:p w:rsidR="00000000" w:rsidRPr="00B84690" w:rsidP="00B84690">
      <w:pPr>
        <w:pStyle w:val="Heading1"/>
      </w:pPr>
      <w:bookmarkStart w:id="1" w:name="O_951407"/>
      <w:bookmarkEnd w:id="1"/>
      <w:r w:rsidRPr="00B84690">
        <w:t>Modification History</w:t>
      </w:r>
    </w:p>
    <w:p w:rsidR="00000000" w:rsidRPr="00B84690" w:rsidP="00B41013">
      <w:pPr>
        <w:pStyle w:val="BodyText"/>
      </w:pPr>
      <w:r w:rsidRPr="00B84690">
        <w:t xml:space="preserve">Release 1. Supersedes and is equivalent to MEM21016A Install and set up clocks </w:t>
      </w:r>
    </w:p>
    <w:p w:rsidR="00000000" w:rsidRPr="00B84690" w:rsidP="00B84690">
      <w:pPr>
        <w:pStyle w:val="Heading1"/>
      </w:pPr>
      <w:bookmarkStart w:id="2" w:name="O_951415"/>
      <w:bookmarkEnd w:id="2"/>
      <w:r w:rsidRPr="00B84690">
        <w:t>Application</w:t>
      </w:r>
    </w:p>
    <w:p w:rsidR="00000000" w:rsidRPr="00B84690" w:rsidP="00B41013">
      <w:pPr>
        <w:pStyle w:val="BodyText"/>
      </w:pPr>
      <w:r w:rsidRPr="00B84690">
        <w:t>This unit of competency defines the skills and knowledge required to set up and assemble pendulum clocks on site. It also cove</w:t>
      </w:r>
      <w:r w:rsidRPr="00B84690">
        <w:t xml:space="preserve">rs testing and making running adjustments to ensure correct function and performance and applies to any clock repairer or vendor required to install, set up and test pendulum clocks on site, including in domestic residences and commercial buildings. </w:t>
      </w:r>
    </w:p>
    <w:p w:rsidR="00000000" w:rsidRPr="00B84690" w:rsidP="00B41013">
      <w:pPr>
        <w:pStyle w:val="BodyText"/>
      </w:pPr>
      <w:r w:rsidRPr="00B84690">
        <w:t xml:space="preserve">The </w:t>
      </w:r>
      <w:r w:rsidRPr="00B84690">
        <w:t>most common application is usually a set-up and installation of new (long-case, wall or shelf) clocks or a set-up and installation after the return of serviced clocks to a customer</w:t>
      </w:r>
      <w:r>
        <w:t>’</w:t>
      </w:r>
      <w:r w:rsidRPr="00B84690">
        <w:t>s premises.</w:t>
      </w:r>
    </w:p>
    <w:p w:rsidR="00000000" w:rsidRPr="00B84690" w:rsidP="00B41013">
      <w:pPr>
        <w:pStyle w:val="BodyText"/>
      </w:pPr>
      <w:r w:rsidRPr="00B84690">
        <w:t xml:space="preserve">No licensing, legislative or certification requirements apply </w:t>
      </w:r>
      <w:r w:rsidRPr="00B84690">
        <w:t>to this unit at the time of publication.</w:t>
      </w:r>
    </w:p>
    <w:p w:rsidR="00000000" w:rsidRPr="00B84690" w:rsidP="00B41013">
      <w:pPr>
        <w:pStyle w:val="Heading4"/>
      </w:pPr>
      <w:r w:rsidRPr="00B84690">
        <w:rPr>
          <w:rStyle w:val="SpecialBold"/>
        </w:rPr>
        <w:t>Band:  A</w:t>
      </w:r>
    </w:p>
    <w:p w:rsidR="00B41013" w:rsidP="00B41013">
      <w:pPr>
        <w:pStyle w:val="Heading4"/>
      </w:pPr>
      <w:r w:rsidRPr="00B84690">
        <w:rPr>
          <w:rStyle w:val="SpecialBold"/>
        </w:rPr>
        <w:t xml:space="preserve">Unit weight:  2 </w:t>
      </w:r>
    </w:p>
    <w:p w:rsidR="00000000" w:rsidRPr="00B84690" w:rsidP="00B84690">
      <w:pPr>
        <w:pStyle w:val="Heading1"/>
      </w:pPr>
      <w:bookmarkStart w:id="3" w:name="O_951414"/>
      <w:bookmarkEnd w:id="3"/>
      <w:r w:rsidRPr="00B84690">
        <w:t>Pre-requisite Unit</w:t>
      </w:r>
    </w:p>
    <w:tbl>
      <w:tblPr>
        <w:tblW w:w="0" w:type="auto"/>
        <w:tblLayout w:type="fixed"/>
        <w:tblCellMar>
          <w:left w:w="62" w:type="dxa"/>
          <w:right w:w="62" w:type="dxa"/>
        </w:tblCellMar>
        <w:tblLook w:val="0000"/>
      </w:tblPr>
      <w:tblGrid>
        <w:gridCol w:w="2186"/>
        <w:gridCol w:w="6886"/>
      </w:tblGrid>
      <w:tr w:rsidTr="00B84690">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B84690">
            <w:pPr>
              <w:pStyle w:val="BodyText"/>
              <w:rPr>
                <w:lang w:val="en-NZ"/>
              </w:rPr>
            </w:pPr>
            <w:r w:rsidRPr="00B84690">
              <w:t>MEM13015</w:t>
            </w:r>
          </w:p>
        </w:tc>
        <w:tc>
          <w:tcPr>
            <w:tcW w:w="6886" w:type="dxa"/>
            <w:tcBorders>
              <w:top w:val="nil"/>
              <w:left w:val="nil"/>
              <w:bottom w:val="nil"/>
              <w:right w:val="nil"/>
            </w:tcBorders>
            <w:tcMar>
              <w:top w:w="0" w:type="dxa"/>
              <w:left w:w="62" w:type="dxa"/>
              <w:bottom w:w="0" w:type="dxa"/>
              <w:right w:w="62" w:type="dxa"/>
            </w:tcMar>
          </w:tcPr>
          <w:p w:rsidR="00000000" w:rsidP="00B84690">
            <w:pPr>
              <w:pStyle w:val="BodyText"/>
              <w:rPr>
                <w:lang w:val="en-NZ"/>
              </w:rPr>
            </w:pPr>
            <w:r w:rsidRPr="00B84690">
              <w:t>Work safely and effectively in manufacturing and engineering</w:t>
            </w:r>
          </w:p>
        </w:tc>
      </w:tr>
      <w:tr w:rsidTr="00B84690">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B84690">
            <w:pPr>
              <w:pStyle w:val="BodyText"/>
              <w:rPr>
                <w:lang w:val="en-NZ"/>
              </w:rPr>
            </w:pPr>
            <w:r w:rsidRPr="00B84690">
              <w:t>MEM16006</w:t>
            </w:r>
          </w:p>
        </w:tc>
        <w:tc>
          <w:tcPr>
            <w:tcW w:w="6886" w:type="dxa"/>
            <w:tcBorders>
              <w:top w:val="nil"/>
              <w:left w:val="nil"/>
              <w:bottom w:val="nil"/>
              <w:right w:val="nil"/>
            </w:tcBorders>
            <w:tcMar>
              <w:top w:w="0" w:type="dxa"/>
              <w:left w:w="62" w:type="dxa"/>
              <w:bottom w:w="0" w:type="dxa"/>
              <w:right w:w="62" w:type="dxa"/>
            </w:tcMar>
          </w:tcPr>
          <w:p w:rsidR="00000000" w:rsidRPr="00B84690" w:rsidP="00B84690">
            <w:pPr>
              <w:pStyle w:val="BodyText"/>
            </w:pPr>
            <w:r w:rsidRPr="00B84690">
              <w:t>Organise and communicate information</w:t>
            </w:r>
          </w:p>
        </w:tc>
      </w:tr>
    </w:tbl>
    <w:p w:rsidR="00000000" w:rsidRPr="00B84690" w:rsidP="00B84690">
      <w:pPr>
        <w:pStyle w:val="BodyText"/>
      </w:pPr>
    </w:p>
    <w:p w:rsidR="00000000" w:rsidRPr="00B84690" w:rsidP="00B84690">
      <w:pPr>
        <w:pStyle w:val="AllowPageBreak"/>
      </w:pPr>
    </w:p>
    <w:p w:rsidR="00000000" w:rsidRPr="00B84690" w:rsidP="00B84690">
      <w:pPr>
        <w:pStyle w:val="Heading1"/>
      </w:pPr>
      <w:bookmarkStart w:id="4" w:name="O_951413"/>
      <w:bookmarkEnd w:id="4"/>
      <w:r w:rsidRPr="00B84690">
        <w:t>Competency Field</w:t>
      </w:r>
    </w:p>
    <w:p w:rsidR="00000000" w:rsidRPr="00B84690" w:rsidP="00B41013">
      <w:pPr>
        <w:pStyle w:val="BodyText"/>
      </w:pPr>
      <w:r w:rsidRPr="00B84690">
        <w:t>Horology</w:t>
      </w:r>
    </w:p>
    <w:p w:rsidR="00000000" w:rsidRPr="00B84690" w:rsidP="00B84690">
      <w:pPr>
        <w:pStyle w:val="Heading1"/>
      </w:pPr>
      <w:bookmarkStart w:id="5" w:name="O_951411"/>
      <w:bookmarkEnd w:id="5"/>
      <w:r w:rsidRPr="00B84690">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B84690">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B84690">
            <w:pPr>
              <w:pStyle w:val="BodyText"/>
              <w:rPr>
                <w:lang w:val="en-NZ"/>
              </w:rPr>
            </w:pPr>
            <w:r w:rsidRPr="00B84690">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B84690">
            <w:pPr>
              <w:pStyle w:val="BodyText"/>
              <w:rPr>
                <w:lang w:val="en-NZ"/>
              </w:rPr>
            </w:pPr>
            <w:r w:rsidRPr="00B84690">
              <w:t>Performance criteria describe the performance needed to demonstrate achievement of the element.</w:t>
            </w:r>
          </w:p>
        </w:tc>
      </w:tr>
      <w:tr w:rsidTr="00B8469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B84690" w:rsidP="00B84690">
            <w:pPr>
              <w:pStyle w:val="BodyText"/>
            </w:pPr>
            <w:r w:rsidRPr="00B84690">
              <w:t>1</w:t>
            </w:r>
          </w:p>
        </w:tc>
        <w:tc>
          <w:tcPr>
            <w:tcW w:w="1986" w:type="dxa"/>
            <w:vMerge w:val="restart"/>
            <w:tcBorders>
              <w:top w:val="nil"/>
              <w:left w:val="nil"/>
              <w:bottom w:val="nil"/>
              <w:right w:val="nil"/>
            </w:tcBorders>
            <w:tcMar>
              <w:top w:w="0" w:type="dxa"/>
              <w:left w:w="62" w:type="dxa"/>
              <w:bottom w:w="0" w:type="dxa"/>
              <w:right w:w="62" w:type="dxa"/>
            </w:tcMar>
          </w:tcPr>
          <w:p w:rsidR="00000000" w:rsidP="00B84690">
            <w:pPr>
              <w:pStyle w:val="BodyText"/>
              <w:rPr>
                <w:lang w:val="en-NZ"/>
              </w:rPr>
            </w:pPr>
            <w:r w:rsidRPr="00B84690">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B84690">
            <w:pPr>
              <w:pStyle w:val="BodyText"/>
              <w:rPr>
                <w:lang w:val="en-NZ"/>
              </w:rPr>
            </w:pPr>
            <w:r w:rsidRPr="00B84690">
              <w:t>1.1</w:t>
            </w:r>
          </w:p>
        </w:tc>
        <w:tc>
          <w:tcPr>
            <w:tcW w:w="5678" w:type="dxa"/>
            <w:tcBorders>
              <w:top w:val="nil"/>
              <w:left w:val="nil"/>
              <w:bottom w:val="nil"/>
              <w:right w:val="nil"/>
            </w:tcBorders>
            <w:tcMar>
              <w:top w:w="0" w:type="dxa"/>
              <w:left w:w="62" w:type="dxa"/>
              <w:bottom w:w="0" w:type="dxa"/>
              <w:right w:w="62" w:type="dxa"/>
            </w:tcMar>
          </w:tcPr>
          <w:p w:rsidR="00000000" w:rsidP="00B84690">
            <w:pPr>
              <w:pStyle w:val="BodyText"/>
              <w:rPr>
                <w:lang w:val="en-NZ"/>
              </w:rPr>
            </w:pPr>
            <w:r w:rsidRPr="00B84690">
              <w:t>Follow standard operating procedures (SOPs)</w:t>
            </w:r>
          </w:p>
        </w:tc>
      </w:tr>
      <w:tr w:rsidTr="00B8469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84690">
            <w:pPr>
              <w:pStyle w:val="BodyText"/>
              <w:rPr>
                <w:lang w:val="en-NZ"/>
              </w:rPr>
            </w:pPr>
            <w:r w:rsidRPr="00B84690">
              <w:t>1.2</w:t>
            </w:r>
          </w:p>
        </w:tc>
        <w:tc>
          <w:tcPr>
            <w:tcW w:w="5678" w:type="dxa"/>
            <w:tcBorders>
              <w:top w:val="nil"/>
              <w:left w:val="nil"/>
              <w:bottom w:val="nil"/>
              <w:right w:val="nil"/>
            </w:tcBorders>
            <w:tcMar>
              <w:top w:w="0" w:type="dxa"/>
              <w:left w:w="62" w:type="dxa"/>
              <w:bottom w:w="0" w:type="dxa"/>
              <w:right w:w="62" w:type="dxa"/>
            </w:tcMar>
          </w:tcPr>
          <w:p w:rsidR="00000000" w:rsidP="00B84690">
            <w:pPr>
              <w:pStyle w:val="BodyText"/>
              <w:rPr>
                <w:lang w:val="en-NZ"/>
              </w:rPr>
            </w:pPr>
            <w:r w:rsidRPr="00B84690">
              <w:t>Comply with work health and safety (WHS) requirements at all times</w:t>
            </w:r>
          </w:p>
        </w:tc>
      </w:tr>
      <w:tr w:rsidTr="00B8469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84690">
            <w:pPr>
              <w:pStyle w:val="BodyText"/>
              <w:rPr>
                <w:lang w:val="en-NZ"/>
              </w:rPr>
            </w:pPr>
            <w:r w:rsidRPr="00B84690">
              <w:t>1.3</w:t>
            </w:r>
          </w:p>
        </w:tc>
        <w:tc>
          <w:tcPr>
            <w:tcW w:w="5678" w:type="dxa"/>
            <w:tcBorders>
              <w:top w:val="nil"/>
              <w:left w:val="nil"/>
              <w:bottom w:val="nil"/>
              <w:right w:val="nil"/>
            </w:tcBorders>
            <w:tcMar>
              <w:top w:w="0" w:type="dxa"/>
              <w:left w:w="62" w:type="dxa"/>
              <w:bottom w:w="0" w:type="dxa"/>
              <w:right w:w="62" w:type="dxa"/>
            </w:tcMar>
          </w:tcPr>
          <w:p w:rsidR="00000000" w:rsidP="00B84690">
            <w:pPr>
              <w:pStyle w:val="BodyText"/>
              <w:rPr>
                <w:lang w:val="en-NZ"/>
              </w:rPr>
            </w:pPr>
            <w:r w:rsidRPr="00B84690">
              <w:t>Select and use appropriate personal protective equipment (PPE) in accordance with SOPs</w:t>
            </w:r>
          </w:p>
        </w:tc>
      </w:tr>
      <w:tr w:rsidTr="00B8469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84690">
            <w:pPr>
              <w:pStyle w:val="BodyText"/>
              <w:rPr>
                <w:lang w:val="en-NZ"/>
              </w:rPr>
            </w:pPr>
            <w:r w:rsidRPr="00B84690">
              <w:t>1.4</w:t>
            </w:r>
          </w:p>
        </w:tc>
        <w:tc>
          <w:tcPr>
            <w:tcW w:w="5678" w:type="dxa"/>
            <w:tcBorders>
              <w:top w:val="nil"/>
              <w:left w:val="nil"/>
              <w:bottom w:val="nil"/>
              <w:right w:val="nil"/>
            </w:tcBorders>
            <w:tcMar>
              <w:top w:w="0" w:type="dxa"/>
              <w:left w:w="62" w:type="dxa"/>
              <w:bottom w:w="0" w:type="dxa"/>
              <w:right w:w="62" w:type="dxa"/>
            </w:tcMar>
          </w:tcPr>
          <w:p w:rsidR="00000000" w:rsidP="00B84690">
            <w:pPr>
              <w:pStyle w:val="BodyText"/>
              <w:rPr>
                <w:lang w:val="en-NZ"/>
              </w:rPr>
            </w:pPr>
            <w:r w:rsidRPr="00B84690">
              <w:t>Identify job requirements from spec</w:t>
            </w:r>
            <w:r w:rsidRPr="00B84690">
              <w:t>ifications, job sheets or work instructions</w:t>
            </w:r>
          </w:p>
        </w:tc>
      </w:tr>
      <w:tr w:rsidTr="00B84690">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B84690">
            <w:pPr>
              <w:pStyle w:val="BodyText"/>
              <w:rPr>
                <w:lang w:val="en-NZ"/>
              </w:rPr>
            </w:pPr>
          </w:p>
        </w:tc>
      </w:tr>
      <w:tr w:rsidTr="00B8469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B84690" w:rsidP="00B84690">
            <w:pPr>
              <w:pStyle w:val="BodyText"/>
            </w:pPr>
            <w:r w:rsidRPr="00B84690">
              <w:t>2</w:t>
            </w:r>
          </w:p>
        </w:tc>
        <w:tc>
          <w:tcPr>
            <w:tcW w:w="1986" w:type="dxa"/>
            <w:vMerge w:val="restart"/>
            <w:tcBorders>
              <w:top w:val="nil"/>
              <w:left w:val="nil"/>
              <w:bottom w:val="nil"/>
              <w:right w:val="nil"/>
            </w:tcBorders>
            <w:tcMar>
              <w:top w:w="0" w:type="dxa"/>
              <w:left w:w="62" w:type="dxa"/>
              <w:bottom w:w="0" w:type="dxa"/>
              <w:right w:w="62" w:type="dxa"/>
            </w:tcMar>
          </w:tcPr>
          <w:p w:rsidR="00000000" w:rsidP="00B84690">
            <w:pPr>
              <w:pStyle w:val="BodyText"/>
              <w:rPr>
                <w:lang w:val="en-NZ"/>
              </w:rPr>
            </w:pPr>
            <w:r w:rsidRPr="00B84690">
              <w:rPr>
                <w:rStyle w:val="SpecialBold"/>
              </w:rPr>
              <w:t>Handle clocks, shipment and delivery</w:t>
            </w:r>
          </w:p>
        </w:tc>
        <w:tc>
          <w:tcPr>
            <w:tcW w:w="779" w:type="dxa"/>
            <w:tcBorders>
              <w:top w:val="nil"/>
              <w:left w:val="nil"/>
              <w:bottom w:val="nil"/>
              <w:right w:val="nil"/>
            </w:tcBorders>
            <w:tcMar>
              <w:top w:w="0" w:type="dxa"/>
              <w:left w:w="62" w:type="dxa"/>
              <w:bottom w:w="0" w:type="dxa"/>
              <w:right w:w="62" w:type="dxa"/>
            </w:tcMar>
          </w:tcPr>
          <w:p w:rsidR="00000000" w:rsidP="00B84690">
            <w:pPr>
              <w:pStyle w:val="BodyText"/>
              <w:rPr>
                <w:lang w:val="en-NZ"/>
              </w:rPr>
            </w:pPr>
            <w:r w:rsidRPr="00B84690">
              <w:t>2.1</w:t>
            </w:r>
          </w:p>
        </w:tc>
        <w:tc>
          <w:tcPr>
            <w:tcW w:w="5678" w:type="dxa"/>
            <w:tcBorders>
              <w:top w:val="nil"/>
              <w:left w:val="nil"/>
              <w:bottom w:val="nil"/>
              <w:right w:val="nil"/>
            </w:tcBorders>
            <w:tcMar>
              <w:top w:w="0" w:type="dxa"/>
              <w:left w:w="62" w:type="dxa"/>
              <w:bottom w:w="0" w:type="dxa"/>
              <w:right w:w="62" w:type="dxa"/>
            </w:tcMar>
          </w:tcPr>
          <w:p w:rsidR="00000000" w:rsidP="00B84690">
            <w:pPr>
              <w:pStyle w:val="BodyText"/>
              <w:rPr>
                <w:lang w:val="en-NZ"/>
              </w:rPr>
            </w:pPr>
            <w:r w:rsidRPr="00B84690">
              <w:t>Verify and agree clock location requirements (environmental and architectural) with customer</w:t>
            </w:r>
          </w:p>
        </w:tc>
      </w:tr>
      <w:tr w:rsidTr="00B8469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84690">
            <w:pPr>
              <w:pStyle w:val="BodyText"/>
              <w:rPr>
                <w:lang w:val="en-NZ"/>
              </w:rPr>
            </w:pPr>
            <w:r w:rsidRPr="00B84690">
              <w:t>2.2</w:t>
            </w:r>
          </w:p>
        </w:tc>
        <w:tc>
          <w:tcPr>
            <w:tcW w:w="5678" w:type="dxa"/>
            <w:tcBorders>
              <w:top w:val="nil"/>
              <w:left w:val="nil"/>
              <w:bottom w:val="nil"/>
              <w:right w:val="nil"/>
            </w:tcBorders>
            <w:tcMar>
              <w:top w:w="0" w:type="dxa"/>
              <w:left w:w="62" w:type="dxa"/>
              <w:bottom w:w="0" w:type="dxa"/>
              <w:right w:w="62" w:type="dxa"/>
            </w:tcMar>
          </w:tcPr>
          <w:p w:rsidR="00000000" w:rsidP="00B84690">
            <w:pPr>
              <w:pStyle w:val="BodyText"/>
              <w:rPr>
                <w:lang w:val="en-NZ"/>
              </w:rPr>
            </w:pPr>
            <w:r w:rsidRPr="00B84690">
              <w:t>Prepare the clock for shipment/transport</w:t>
            </w:r>
          </w:p>
        </w:tc>
      </w:tr>
      <w:tr w:rsidTr="00B8469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84690">
            <w:pPr>
              <w:pStyle w:val="BodyText"/>
              <w:rPr>
                <w:lang w:val="en-NZ"/>
              </w:rPr>
            </w:pPr>
            <w:r w:rsidRPr="00B84690">
              <w:t>2.3</w:t>
            </w:r>
          </w:p>
        </w:tc>
        <w:tc>
          <w:tcPr>
            <w:tcW w:w="5678" w:type="dxa"/>
            <w:tcBorders>
              <w:top w:val="nil"/>
              <w:left w:val="nil"/>
              <w:bottom w:val="nil"/>
              <w:right w:val="nil"/>
            </w:tcBorders>
            <w:tcMar>
              <w:top w:w="0" w:type="dxa"/>
              <w:left w:w="62" w:type="dxa"/>
              <w:bottom w:w="0" w:type="dxa"/>
              <w:right w:w="62" w:type="dxa"/>
            </w:tcMar>
          </w:tcPr>
          <w:p w:rsidR="00000000" w:rsidP="00B84690">
            <w:pPr>
              <w:pStyle w:val="BodyText"/>
              <w:rPr>
                <w:lang w:val="en-NZ"/>
              </w:rPr>
            </w:pPr>
            <w:r w:rsidRPr="00B84690">
              <w:t>Arrange delivery, as required</w:t>
            </w:r>
          </w:p>
        </w:tc>
      </w:tr>
      <w:tr w:rsidTr="00B84690">
        <w:tblPrEx>
          <w:tblW w:w="0" w:type="auto"/>
          <w:tblLayout w:type="fixed"/>
          <w:tblCellMar>
            <w:left w:w="62" w:type="dxa"/>
            <w:right w:w="62" w:type="dxa"/>
          </w:tblCellMar>
          <w:tblLook w:val="0000"/>
        </w:tblPrEx>
        <w:trPr>
          <w:trHeight w:val="454"/>
        </w:trPr>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84690">
            <w:pPr>
              <w:pStyle w:val="BodyText"/>
              <w:rPr>
                <w:lang w:val="en-NZ"/>
              </w:rPr>
            </w:pPr>
            <w:r w:rsidRPr="00B84690">
              <w:t>2.4</w:t>
            </w:r>
          </w:p>
        </w:tc>
        <w:tc>
          <w:tcPr>
            <w:tcW w:w="5678" w:type="dxa"/>
            <w:tcBorders>
              <w:top w:val="nil"/>
              <w:left w:val="nil"/>
              <w:bottom w:val="nil"/>
              <w:right w:val="nil"/>
            </w:tcBorders>
            <w:tcMar>
              <w:top w:w="0" w:type="dxa"/>
              <w:left w:w="62" w:type="dxa"/>
              <w:bottom w:w="0" w:type="dxa"/>
              <w:right w:w="62" w:type="dxa"/>
            </w:tcMar>
          </w:tcPr>
          <w:p w:rsidR="00000000" w:rsidP="00B84690">
            <w:pPr>
              <w:pStyle w:val="BodyText"/>
              <w:rPr>
                <w:lang w:val="en-NZ"/>
              </w:rPr>
            </w:pPr>
            <w:r w:rsidRPr="00B84690">
              <w:t>Pack parts to avoid damage in transit</w:t>
            </w:r>
          </w:p>
        </w:tc>
      </w:tr>
      <w:tr w:rsidTr="00B84690">
        <w:tblPrEx>
          <w:tblW w:w="0" w:type="auto"/>
          <w:tblLayout w:type="fixed"/>
          <w:tblCellMar>
            <w:left w:w="62" w:type="dxa"/>
            <w:right w:w="62" w:type="dxa"/>
          </w:tblCellMar>
          <w:tblLook w:val="0000"/>
        </w:tblPrEx>
        <w:trPr>
          <w:trHeight w:val="454"/>
        </w:trPr>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84690">
            <w:pPr>
              <w:pStyle w:val="BodyText"/>
              <w:rPr>
                <w:lang w:val="en-NZ"/>
              </w:rPr>
            </w:pPr>
            <w:r w:rsidRPr="00B84690">
              <w:t>2.5</w:t>
            </w:r>
          </w:p>
        </w:tc>
        <w:tc>
          <w:tcPr>
            <w:tcW w:w="5678" w:type="dxa"/>
            <w:tcBorders>
              <w:top w:val="nil"/>
              <w:left w:val="nil"/>
              <w:bottom w:val="nil"/>
              <w:right w:val="nil"/>
            </w:tcBorders>
            <w:tcMar>
              <w:top w:w="0" w:type="dxa"/>
              <w:left w:w="62" w:type="dxa"/>
              <w:bottom w:w="0" w:type="dxa"/>
              <w:right w:w="62" w:type="dxa"/>
            </w:tcMar>
          </w:tcPr>
          <w:p w:rsidR="00000000" w:rsidP="00B84690">
            <w:pPr>
              <w:pStyle w:val="BodyText"/>
              <w:rPr>
                <w:lang w:val="en-NZ"/>
              </w:rPr>
            </w:pPr>
            <w:r w:rsidRPr="00B84690">
              <w:t xml:space="preserve">Complete clock handover with customer </w:t>
            </w:r>
          </w:p>
        </w:tc>
      </w:tr>
      <w:tr w:rsidTr="00B84690">
        <w:tblPrEx>
          <w:tblW w:w="0" w:type="auto"/>
          <w:tblLayout w:type="fixed"/>
          <w:tblCellMar>
            <w:left w:w="62" w:type="dxa"/>
            <w:right w:w="62" w:type="dxa"/>
          </w:tblCellMar>
          <w:tblLook w:val="0000"/>
        </w:tblPrEx>
        <w:trPr>
          <w:trHeight w:val="454"/>
        </w:trPr>
        <w:tc>
          <w:tcPr>
            <w:tcW w:w="9129" w:type="dxa"/>
            <w:gridSpan w:val="4"/>
            <w:tcBorders>
              <w:top w:val="nil"/>
              <w:left w:val="nil"/>
              <w:bottom w:val="nil"/>
              <w:right w:val="nil"/>
            </w:tcBorders>
            <w:tcMar>
              <w:top w:w="0" w:type="dxa"/>
              <w:left w:w="62" w:type="dxa"/>
              <w:bottom w:w="0" w:type="dxa"/>
              <w:right w:w="62" w:type="dxa"/>
            </w:tcMar>
          </w:tcPr>
          <w:p w:rsidR="00000000" w:rsidP="00B84690">
            <w:pPr>
              <w:pStyle w:val="BodyText"/>
              <w:rPr>
                <w:lang w:val="en-NZ"/>
              </w:rPr>
            </w:pPr>
          </w:p>
        </w:tc>
      </w:tr>
      <w:tr w:rsidTr="00B84690">
        <w:tblPrEx>
          <w:tblW w:w="0" w:type="auto"/>
          <w:tblLayout w:type="fixed"/>
          <w:tblCellMar>
            <w:left w:w="62" w:type="dxa"/>
            <w:right w:w="62" w:type="dxa"/>
          </w:tblCellMar>
          <w:tblLook w:val="0000"/>
        </w:tblPrEx>
        <w:trPr>
          <w:trHeight w:val="454"/>
        </w:trPr>
        <w:tc>
          <w:tcPr>
            <w:tcW w:w="686" w:type="dxa"/>
            <w:tcBorders>
              <w:top w:val="nil"/>
              <w:left w:val="nil"/>
              <w:bottom w:val="nil"/>
              <w:right w:val="nil"/>
            </w:tcBorders>
            <w:tcMar>
              <w:top w:w="0" w:type="dxa"/>
              <w:left w:w="62" w:type="dxa"/>
              <w:bottom w:w="0" w:type="dxa"/>
              <w:right w:w="62" w:type="dxa"/>
            </w:tcMar>
          </w:tcPr>
          <w:p w:rsidR="00000000" w:rsidRPr="00B84690" w:rsidP="00B84690">
            <w:pPr>
              <w:pStyle w:val="BodyText"/>
            </w:pPr>
            <w:r w:rsidRPr="00B84690">
              <w:t>3</w:t>
            </w:r>
          </w:p>
        </w:tc>
        <w:tc>
          <w:tcPr>
            <w:tcW w:w="1986" w:type="dxa"/>
            <w:vMerge w:val="restart"/>
            <w:tcBorders>
              <w:top w:val="nil"/>
              <w:left w:val="nil"/>
              <w:bottom w:val="nil"/>
              <w:right w:val="nil"/>
            </w:tcBorders>
            <w:tcMar>
              <w:top w:w="0" w:type="dxa"/>
              <w:left w:w="62" w:type="dxa"/>
              <w:bottom w:w="0" w:type="dxa"/>
              <w:right w:w="62" w:type="dxa"/>
            </w:tcMar>
          </w:tcPr>
          <w:p w:rsidR="00000000" w:rsidP="00B84690">
            <w:pPr>
              <w:pStyle w:val="BodyText"/>
              <w:rPr>
                <w:lang w:val="en-NZ"/>
              </w:rPr>
            </w:pPr>
            <w:r w:rsidRPr="00B84690">
              <w:rPr>
                <w:rStyle w:val="SpecialBold"/>
              </w:rPr>
              <w:t>Assemble and install clocks</w:t>
            </w:r>
          </w:p>
        </w:tc>
        <w:tc>
          <w:tcPr>
            <w:tcW w:w="779" w:type="dxa"/>
            <w:tcBorders>
              <w:top w:val="nil"/>
              <w:left w:val="nil"/>
              <w:bottom w:val="nil"/>
              <w:right w:val="nil"/>
            </w:tcBorders>
            <w:tcMar>
              <w:top w:w="0" w:type="dxa"/>
              <w:left w:w="62" w:type="dxa"/>
              <w:bottom w:w="0" w:type="dxa"/>
              <w:right w:w="62" w:type="dxa"/>
            </w:tcMar>
          </w:tcPr>
          <w:p w:rsidR="00000000" w:rsidP="00B84690">
            <w:pPr>
              <w:pStyle w:val="BodyText"/>
              <w:rPr>
                <w:lang w:val="en-NZ"/>
              </w:rPr>
            </w:pPr>
            <w:r w:rsidRPr="00B84690">
              <w:t>3.1</w:t>
            </w:r>
          </w:p>
        </w:tc>
        <w:tc>
          <w:tcPr>
            <w:tcW w:w="5678" w:type="dxa"/>
            <w:tcBorders>
              <w:top w:val="nil"/>
              <w:left w:val="nil"/>
              <w:bottom w:val="nil"/>
              <w:right w:val="nil"/>
            </w:tcBorders>
            <w:tcMar>
              <w:top w:w="0" w:type="dxa"/>
              <w:left w:w="62" w:type="dxa"/>
              <w:bottom w:w="0" w:type="dxa"/>
              <w:right w:w="62" w:type="dxa"/>
            </w:tcMar>
          </w:tcPr>
          <w:p w:rsidR="00000000" w:rsidP="00B84690">
            <w:pPr>
              <w:pStyle w:val="BodyText"/>
              <w:rPr>
                <w:lang w:val="en-NZ"/>
              </w:rPr>
            </w:pPr>
            <w:r w:rsidRPr="00B84690">
              <w:t>Select and use appropriate tools and equipment</w:t>
            </w:r>
          </w:p>
        </w:tc>
      </w:tr>
      <w:tr w:rsidTr="00B84690">
        <w:tblPrEx>
          <w:tblW w:w="0" w:type="auto"/>
          <w:tblLayout w:type="fixed"/>
          <w:tblCellMar>
            <w:left w:w="62" w:type="dxa"/>
            <w:right w:w="62" w:type="dxa"/>
          </w:tblCellMar>
          <w:tblLook w:val="0000"/>
        </w:tblPrEx>
        <w:trPr>
          <w:trHeight w:val="454"/>
        </w:trPr>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84690">
            <w:pPr>
              <w:pStyle w:val="BodyText"/>
              <w:rPr>
                <w:lang w:val="en-NZ"/>
              </w:rPr>
            </w:pPr>
            <w:r w:rsidRPr="00B84690">
              <w:t>3.2</w:t>
            </w:r>
          </w:p>
        </w:tc>
        <w:tc>
          <w:tcPr>
            <w:tcW w:w="5678" w:type="dxa"/>
            <w:tcBorders>
              <w:top w:val="nil"/>
              <w:left w:val="nil"/>
              <w:bottom w:val="nil"/>
              <w:right w:val="nil"/>
            </w:tcBorders>
            <w:tcMar>
              <w:top w:w="0" w:type="dxa"/>
              <w:left w:w="62" w:type="dxa"/>
              <w:bottom w:w="0" w:type="dxa"/>
              <w:right w:w="62" w:type="dxa"/>
            </w:tcMar>
          </w:tcPr>
          <w:p w:rsidR="00000000" w:rsidP="00B84690">
            <w:pPr>
              <w:pStyle w:val="BodyText"/>
              <w:rPr>
                <w:lang w:val="en-NZ"/>
              </w:rPr>
            </w:pPr>
            <w:r w:rsidRPr="00B84690">
              <w:t>Unpack components and verify completeness</w:t>
            </w:r>
          </w:p>
        </w:tc>
      </w:tr>
      <w:tr w:rsidTr="00B84690">
        <w:tblPrEx>
          <w:tblW w:w="0" w:type="auto"/>
          <w:tblLayout w:type="fixed"/>
          <w:tblCellMar>
            <w:left w:w="62" w:type="dxa"/>
            <w:right w:w="62" w:type="dxa"/>
          </w:tblCellMar>
          <w:tblLook w:val="0000"/>
        </w:tblPrEx>
        <w:trPr>
          <w:trHeight w:val="454"/>
        </w:trPr>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84690">
            <w:pPr>
              <w:pStyle w:val="BodyText"/>
              <w:rPr>
                <w:lang w:val="en-NZ"/>
              </w:rPr>
            </w:pPr>
            <w:r w:rsidRPr="00B84690">
              <w:t>3.3</w:t>
            </w:r>
          </w:p>
        </w:tc>
        <w:tc>
          <w:tcPr>
            <w:tcW w:w="5678" w:type="dxa"/>
            <w:tcBorders>
              <w:top w:val="nil"/>
              <w:left w:val="nil"/>
              <w:bottom w:val="nil"/>
              <w:right w:val="nil"/>
            </w:tcBorders>
            <w:tcMar>
              <w:top w:w="0" w:type="dxa"/>
              <w:left w:w="62" w:type="dxa"/>
              <w:bottom w:w="0" w:type="dxa"/>
              <w:right w:w="62" w:type="dxa"/>
            </w:tcMar>
          </w:tcPr>
          <w:p w:rsidR="00000000" w:rsidP="00B84690">
            <w:pPr>
              <w:pStyle w:val="BodyText"/>
              <w:rPr>
                <w:lang w:val="en-NZ"/>
              </w:rPr>
            </w:pPr>
            <w:r w:rsidRPr="00B84690">
              <w:t>Install and stabilise clock case using appropriate methods and fixings</w:t>
            </w:r>
          </w:p>
        </w:tc>
      </w:tr>
      <w:tr w:rsidTr="00B84690">
        <w:tblPrEx>
          <w:tblW w:w="0" w:type="auto"/>
          <w:tblLayout w:type="fixed"/>
          <w:tblCellMar>
            <w:left w:w="62" w:type="dxa"/>
            <w:right w:w="62" w:type="dxa"/>
          </w:tblCellMar>
          <w:tblLook w:val="0000"/>
        </w:tblPrEx>
        <w:trPr>
          <w:trHeight w:val="454"/>
        </w:trPr>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84690">
            <w:pPr>
              <w:pStyle w:val="BodyText"/>
              <w:rPr>
                <w:lang w:val="en-NZ"/>
              </w:rPr>
            </w:pPr>
            <w:r w:rsidRPr="00B84690">
              <w:t>3.4</w:t>
            </w:r>
          </w:p>
        </w:tc>
        <w:tc>
          <w:tcPr>
            <w:tcW w:w="5678" w:type="dxa"/>
            <w:tcBorders>
              <w:top w:val="nil"/>
              <w:left w:val="nil"/>
              <w:bottom w:val="nil"/>
              <w:right w:val="nil"/>
            </w:tcBorders>
            <w:tcMar>
              <w:top w:w="0" w:type="dxa"/>
              <w:left w:w="62" w:type="dxa"/>
              <w:bottom w:w="0" w:type="dxa"/>
              <w:right w:w="62" w:type="dxa"/>
            </w:tcMar>
          </w:tcPr>
          <w:p w:rsidR="00000000" w:rsidP="00B84690">
            <w:pPr>
              <w:pStyle w:val="BodyText"/>
              <w:rPr>
                <w:lang w:val="en-NZ"/>
              </w:rPr>
            </w:pPr>
            <w:r w:rsidRPr="00B84690">
              <w:t>Assemble clock and verify clock functions</w:t>
            </w:r>
          </w:p>
        </w:tc>
      </w:tr>
      <w:tr w:rsidTr="00B84690">
        <w:tblPrEx>
          <w:tblW w:w="0" w:type="auto"/>
          <w:tblLayout w:type="fixed"/>
          <w:tblCellMar>
            <w:left w:w="62" w:type="dxa"/>
            <w:right w:w="62" w:type="dxa"/>
          </w:tblCellMar>
          <w:tblLook w:val="0000"/>
        </w:tblPrEx>
        <w:trPr>
          <w:trHeight w:val="454"/>
        </w:trPr>
        <w:tc>
          <w:tcPr>
            <w:tcW w:w="9129" w:type="dxa"/>
            <w:gridSpan w:val="4"/>
            <w:tcBorders>
              <w:top w:val="nil"/>
              <w:left w:val="nil"/>
              <w:bottom w:val="nil"/>
              <w:right w:val="nil"/>
            </w:tcBorders>
            <w:tcMar>
              <w:top w:w="0" w:type="dxa"/>
              <w:left w:w="62" w:type="dxa"/>
              <w:bottom w:w="0" w:type="dxa"/>
              <w:right w:w="62" w:type="dxa"/>
            </w:tcMar>
          </w:tcPr>
          <w:p w:rsidR="00000000" w:rsidP="00B84690">
            <w:pPr>
              <w:pStyle w:val="BodyText"/>
              <w:rPr>
                <w:lang w:val="en-NZ"/>
              </w:rPr>
            </w:pPr>
          </w:p>
        </w:tc>
      </w:tr>
      <w:tr w:rsidTr="00B84690">
        <w:tblPrEx>
          <w:tblW w:w="0" w:type="auto"/>
          <w:tblLayout w:type="fixed"/>
          <w:tblCellMar>
            <w:left w:w="62" w:type="dxa"/>
            <w:right w:w="62" w:type="dxa"/>
          </w:tblCellMar>
          <w:tblLook w:val="0000"/>
        </w:tblPrEx>
        <w:trPr>
          <w:trHeight w:val="454"/>
        </w:trPr>
        <w:tc>
          <w:tcPr>
            <w:tcW w:w="686" w:type="dxa"/>
            <w:tcBorders>
              <w:top w:val="nil"/>
              <w:left w:val="nil"/>
              <w:bottom w:val="nil"/>
              <w:right w:val="nil"/>
            </w:tcBorders>
            <w:tcMar>
              <w:top w:w="0" w:type="dxa"/>
              <w:left w:w="62" w:type="dxa"/>
              <w:bottom w:w="0" w:type="dxa"/>
              <w:right w:w="62" w:type="dxa"/>
            </w:tcMar>
          </w:tcPr>
          <w:p w:rsidR="00000000" w:rsidRPr="00B84690" w:rsidP="00B84690">
            <w:pPr>
              <w:pStyle w:val="BodyText"/>
            </w:pPr>
            <w:r w:rsidRPr="00B84690">
              <w:t>4</w:t>
            </w:r>
          </w:p>
        </w:tc>
        <w:tc>
          <w:tcPr>
            <w:tcW w:w="1986" w:type="dxa"/>
            <w:vMerge w:val="restart"/>
            <w:tcBorders>
              <w:top w:val="nil"/>
              <w:left w:val="nil"/>
              <w:bottom w:val="nil"/>
              <w:right w:val="nil"/>
            </w:tcBorders>
            <w:tcMar>
              <w:top w:w="0" w:type="dxa"/>
              <w:left w:w="62" w:type="dxa"/>
              <w:bottom w:w="0" w:type="dxa"/>
              <w:right w:w="62" w:type="dxa"/>
            </w:tcMar>
          </w:tcPr>
          <w:p w:rsidR="00000000" w:rsidP="00B84690">
            <w:pPr>
              <w:pStyle w:val="BodyText"/>
              <w:rPr>
                <w:lang w:val="en-NZ"/>
              </w:rPr>
            </w:pPr>
            <w:r w:rsidRPr="00B84690">
              <w:rPr>
                <w:rStyle w:val="SpecialBold"/>
              </w:rPr>
              <w:t>Determine in-beat and adjust pendulum oscillating systems</w:t>
            </w:r>
          </w:p>
        </w:tc>
        <w:tc>
          <w:tcPr>
            <w:tcW w:w="779" w:type="dxa"/>
            <w:tcBorders>
              <w:top w:val="nil"/>
              <w:left w:val="nil"/>
              <w:bottom w:val="nil"/>
              <w:right w:val="nil"/>
            </w:tcBorders>
            <w:tcMar>
              <w:top w:w="0" w:type="dxa"/>
              <w:left w:w="62" w:type="dxa"/>
              <w:bottom w:w="0" w:type="dxa"/>
              <w:right w:w="62" w:type="dxa"/>
            </w:tcMar>
          </w:tcPr>
          <w:p w:rsidR="00000000" w:rsidP="00B84690">
            <w:pPr>
              <w:pStyle w:val="BodyText"/>
              <w:rPr>
                <w:lang w:val="en-NZ"/>
              </w:rPr>
            </w:pPr>
            <w:r w:rsidRPr="00B84690">
              <w:t>4.1</w:t>
            </w:r>
          </w:p>
        </w:tc>
        <w:tc>
          <w:tcPr>
            <w:tcW w:w="5678" w:type="dxa"/>
            <w:tcBorders>
              <w:top w:val="nil"/>
              <w:left w:val="nil"/>
              <w:bottom w:val="nil"/>
              <w:right w:val="nil"/>
            </w:tcBorders>
            <w:tcMar>
              <w:top w:w="0" w:type="dxa"/>
              <w:left w:w="62" w:type="dxa"/>
              <w:bottom w:w="0" w:type="dxa"/>
              <w:right w:w="62" w:type="dxa"/>
            </w:tcMar>
          </w:tcPr>
          <w:p w:rsidR="00000000" w:rsidP="00B84690">
            <w:pPr>
              <w:pStyle w:val="BodyText"/>
              <w:rPr>
                <w:lang w:val="en-NZ"/>
              </w:rPr>
            </w:pPr>
            <w:r w:rsidRPr="00B84690">
              <w:t xml:space="preserve">Conduct in-beat assessment </w:t>
            </w:r>
          </w:p>
        </w:tc>
      </w:tr>
      <w:tr w:rsidTr="00B84690">
        <w:tblPrEx>
          <w:tblW w:w="0" w:type="auto"/>
          <w:tblLayout w:type="fixed"/>
          <w:tblCellMar>
            <w:left w:w="62" w:type="dxa"/>
            <w:right w:w="62" w:type="dxa"/>
          </w:tblCellMar>
          <w:tblLook w:val="0000"/>
        </w:tblPrEx>
        <w:trPr>
          <w:trHeight w:val="454"/>
        </w:trPr>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84690">
            <w:pPr>
              <w:pStyle w:val="BodyText"/>
              <w:rPr>
                <w:lang w:val="en-NZ"/>
              </w:rPr>
            </w:pPr>
            <w:r w:rsidRPr="00B84690">
              <w:t>4.2</w:t>
            </w:r>
          </w:p>
        </w:tc>
        <w:tc>
          <w:tcPr>
            <w:tcW w:w="5678" w:type="dxa"/>
            <w:tcBorders>
              <w:top w:val="nil"/>
              <w:left w:val="nil"/>
              <w:bottom w:val="nil"/>
              <w:right w:val="nil"/>
            </w:tcBorders>
            <w:tcMar>
              <w:top w:w="0" w:type="dxa"/>
              <w:left w:w="62" w:type="dxa"/>
              <w:bottom w:w="0" w:type="dxa"/>
              <w:right w:w="62" w:type="dxa"/>
            </w:tcMar>
          </w:tcPr>
          <w:p w:rsidR="00000000" w:rsidP="00B84690">
            <w:pPr>
              <w:pStyle w:val="BodyText"/>
              <w:rPr>
                <w:lang w:val="en-NZ"/>
              </w:rPr>
            </w:pPr>
            <w:r w:rsidRPr="00B84690">
              <w:t xml:space="preserve">Identify in-beat adjustment method and perform adjustments </w:t>
            </w:r>
          </w:p>
        </w:tc>
      </w:tr>
      <w:tr w:rsidTr="00B84690">
        <w:tblPrEx>
          <w:tblW w:w="0" w:type="auto"/>
          <w:tblLayout w:type="fixed"/>
          <w:tblCellMar>
            <w:left w:w="62" w:type="dxa"/>
            <w:right w:w="62" w:type="dxa"/>
          </w:tblCellMar>
          <w:tblLook w:val="0000"/>
        </w:tblPrEx>
        <w:trPr>
          <w:trHeight w:val="454"/>
        </w:trPr>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84690">
            <w:pPr>
              <w:pStyle w:val="BodyText"/>
              <w:rPr>
                <w:lang w:val="en-NZ"/>
              </w:rPr>
            </w:pPr>
            <w:r w:rsidRPr="00B84690">
              <w:t>4.3</w:t>
            </w:r>
          </w:p>
        </w:tc>
        <w:tc>
          <w:tcPr>
            <w:tcW w:w="5678" w:type="dxa"/>
            <w:tcBorders>
              <w:top w:val="nil"/>
              <w:left w:val="nil"/>
              <w:bottom w:val="nil"/>
              <w:right w:val="nil"/>
            </w:tcBorders>
            <w:tcMar>
              <w:top w:w="0" w:type="dxa"/>
              <w:left w:w="62" w:type="dxa"/>
              <w:bottom w:w="0" w:type="dxa"/>
              <w:right w:w="62" w:type="dxa"/>
            </w:tcMar>
          </w:tcPr>
          <w:p w:rsidR="00000000" w:rsidP="00B84690">
            <w:pPr>
              <w:pStyle w:val="BodyText"/>
              <w:rPr>
                <w:lang w:val="en-NZ"/>
              </w:rPr>
            </w:pPr>
            <w:r w:rsidRPr="00B84690">
              <w:t>Evaluate pendulum amplitude and action</w:t>
            </w:r>
          </w:p>
        </w:tc>
      </w:tr>
      <w:tr w:rsidTr="00B84690">
        <w:tblPrEx>
          <w:tblW w:w="0" w:type="auto"/>
          <w:tblLayout w:type="fixed"/>
          <w:tblCellMar>
            <w:left w:w="62" w:type="dxa"/>
            <w:right w:w="62" w:type="dxa"/>
          </w:tblCellMar>
          <w:tblLook w:val="0000"/>
        </w:tblPrEx>
        <w:trPr>
          <w:trHeight w:val="454"/>
        </w:trPr>
        <w:tc>
          <w:tcPr>
            <w:tcW w:w="9129" w:type="dxa"/>
            <w:gridSpan w:val="4"/>
            <w:tcBorders>
              <w:top w:val="nil"/>
              <w:left w:val="nil"/>
              <w:bottom w:val="nil"/>
              <w:right w:val="nil"/>
            </w:tcBorders>
            <w:tcMar>
              <w:top w:w="0" w:type="dxa"/>
              <w:left w:w="62" w:type="dxa"/>
              <w:bottom w:w="0" w:type="dxa"/>
              <w:right w:w="62" w:type="dxa"/>
            </w:tcMar>
          </w:tcPr>
          <w:p w:rsidR="00000000" w:rsidP="00B84690">
            <w:pPr>
              <w:pStyle w:val="BodyText"/>
              <w:rPr>
                <w:lang w:val="en-NZ"/>
              </w:rPr>
            </w:pPr>
          </w:p>
        </w:tc>
      </w:tr>
      <w:tr w:rsidTr="00B84690">
        <w:tblPrEx>
          <w:tblW w:w="0" w:type="auto"/>
          <w:tblLayout w:type="fixed"/>
          <w:tblCellMar>
            <w:left w:w="62" w:type="dxa"/>
            <w:right w:w="62" w:type="dxa"/>
          </w:tblCellMar>
          <w:tblLook w:val="0000"/>
        </w:tblPrEx>
        <w:trPr>
          <w:trHeight w:val="454"/>
        </w:trPr>
        <w:tc>
          <w:tcPr>
            <w:tcW w:w="686" w:type="dxa"/>
            <w:tcBorders>
              <w:top w:val="nil"/>
              <w:left w:val="nil"/>
              <w:bottom w:val="nil"/>
              <w:right w:val="nil"/>
            </w:tcBorders>
            <w:tcMar>
              <w:top w:w="0" w:type="dxa"/>
              <w:left w:w="62" w:type="dxa"/>
              <w:bottom w:w="0" w:type="dxa"/>
              <w:right w:w="62" w:type="dxa"/>
            </w:tcMar>
          </w:tcPr>
          <w:p w:rsidR="00000000" w:rsidRPr="00B84690" w:rsidP="00B84690">
            <w:pPr>
              <w:pStyle w:val="BodyText"/>
            </w:pPr>
            <w:r w:rsidRPr="00B84690">
              <w:t>5</w:t>
            </w:r>
          </w:p>
        </w:tc>
        <w:tc>
          <w:tcPr>
            <w:tcW w:w="1986" w:type="dxa"/>
            <w:vMerge w:val="restart"/>
            <w:tcBorders>
              <w:top w:val="nil"/>
              <w:left w:val="nil"/>
              <w:bottom w:val="nil"/>
              <w:right w:val="nil"/>
            </w:tcBorders>
            <w:tcMar>
              <w:top w:w="0" w:type="dxa"/>
              <w:left w:w="62" w:type="dxa"/>
              <w:bottom w:w="0" w:type="dxa"/>
              <w:right w:w="62" w:type="dxa"/>
            </w:tcMar>
          </w:tcPr>
          <w:p w:rsidR="00000000" w:rsidP="00B84690">
            <w:pPr>
              <w:pStyle w:val="BodyText"/>
              <w:rPr>
                <w:lang w:val="en-NZ"/>
              </w:rPr>
            </w:pPr>
            <w:r w:rsidRPr="00B84690">
              <w:rPr>
                <w:rStyle w:val="SpecialBold"/>
              </w:rPr>
              <w:t xml:space="preserve">Verify additional </w:t>
            </w:r>
            <w:r w:rsidRPr="00B84690">
              <w:rPr>
                <w:rStyle w:val="SpecialBold"/>
              </w:rPr>
              <w:t>clock functions</w:t>
            </w:r>
          </w:p>
        </w:tc>
        <w:tc>
          <w:tcPr>
            <w:tcW w:w="779" w:type="dxa"/>
            <w:tcBorders>
              <w:top w:val="nil"/>
              <w:left w:val="nil"/>
              <w:bottom w:val="nil"/>
              <w:right w:val="nil"/>
            </w:tcBorders>
            <w:tcMar>
              <w:top w:w="0" w:type="dxa"/>
              <w:left w:w="62" w:type="dxa"/>
              <w:bottom w:w="0" w:type="dxa"/>
              <w:right w:w="62" w:type="dxa"/>
            </w:tcMar>
          </w:tcPr>
          <w:p w:rsidR="00000000" w:rsidP="00B84690">
            <w:pPr>
              <w:pStyle w:val="BodyText"/>
              <w:rPr>
                <w:lang w:val="en-NZ"/>
              </w:rPr>
            </w:pPr>
            <w:r w:rsidRPr="00B84690">
              <w:t>5.1</w:t>
            </w:r>
          </w:p>
        </w:tc>
        <w:tc>
          <w:tcPr>
            <w:tcW w:w="5678" w:type="dxa"/>
            <w:tcBorders>
              <w:top w:val="nil"/>
              <w:left w:val="nil"/>
              <w:bottom w:val="nil"/>
              <w:right w:val="nil"/>
            </w:tcBorders>
            <w:tcMar>
              <w:top w:w="0" w:type="dxa"/>
              <w:left w:w="62" w:type="dxa"/>
              <w:bottom w:w="0" w:type="dxa"/>
              <w:right w:w="62" w:type="dxa"/>
            </w:tcMar>
          </w:tcPr>
          <w:p w:rsidR="00000000" w:rsidP="00B84690">
            <w:pPr>
              <w:pStyle w:val="BodyText"/>
              <w:rPr>
                <w:lang w:val="en-NZ"/>
              </w:rPr>
            </w:pPr>
            <w:r w:rsidRPr="00B84690">
              <w:t xml:space="preserve">Test and confirm correct striking and chiming sequence </w:t>
            </w:r>
          </w:p>
        </w:tc>
      </w:tr>
      <w:tr w:rsidTr="00B84690">
        <w:tblPrEx>
          <w:tblW w:w="0" w:type="auto"/>
          <w:tblLayout w:type="fixed"/>
          <w:tblCellMar>
            <w:left w:w="62" w:type="dxa"/>
            <w:right w:w="62" w:type="dxa"/>
          </w:tblCellMar>
          <w:tblLook w:val="0000"/>
        </w:tblPrEx>
        <w:trPr>
          <w:trHeight w:val="454"/>
        </w:trPr>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84690">
            <w:pPr>
              <w:pStyle w:val="BodyText"/>
              <w:rPr>
                <w:lang w:val="en-NZ"/>
              </w:rPr>
            </w:pPr>
            <w:r w:rsidRPr="00B84690">
              <w:t>5.2</w:t>
            </w:r>
          </w:p>
        </w:tc>
        <w:tc>
          <w:tcPr>
            <w:tcW w:w="5678" w:type="dxa"/>
            <w:tcBorders>
              <w:top w:val="nil"/>
              <w:left w:val="nil"/>
              <w:bottom w:val="nil"/>
              <w:right w:val="nil"/>
            </w:tcBorders>
            <w:tcMar>
              <w:top w:w="0" w:type="dxa"/>
              <w:left w:w="62" w:type="dxa"/>
              <w:bottom w:w="0" w:type="dxa"/>
              <w:right w:w="62" w:type="dxa"/>
            </w:tcMar>
          </w:tcPr>
          <w:p w:rsidR="00000000" w:rsidP="00B84690">
            <w:pPr>
              <w:pStyle w:val="BodyText"/>
              <w:rPr>
                <w:lang w:val="en-NZ"/>
              </w:rPr>
            </w:pPr>
            <w:r w:rsidRPr="00B84690">
              <w:t>Adjust, as required, to ensure correct tone and harmony</w:t>
            </w:r>
          </w:p>
        </w:tc>
      </w:tr>
      <w:tr w:rsidTr="00B84690">
        <w:tblPrEx>
          <w:tblW w:w="0" w:type="auto"/>
          <w:tblLayout w:type="fixed"/>
          <w:tblCellMar>
            <w:left w:w="62" w:type="dxa"/>
            <w:right w:w="62" w:type="dxa"/>
          </w:tblCellMar>
          <w:tblLook w:val="0000"/>
        </w:tblPrEx>
        <w:trPr>
          <w:trHeight w:val="454"/>
        </w:trPr>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84690">
            <w:pPr>
              <w:pStyle w:val="BodyText"/>
              <w:rPr>
                <w:lang w:val="en-NZ"/>
              </w:rPr>
            </w:pPr>
            <w:r w:rsidRPr="00B84690">
              <w:t>5.3</w:t>
            </w:r>
          </w:p>
        </w:tc>
        <w:tc>
          <w:tcPr>
            <w:tcW w:w="5678" w:type="dxa"/>
            <w:tcBorders>
              <w:top w:val="nil"/>
              <w:left w:val="nil"/>
              <w:bottom w:val="nil"/>
              <w:right w:val="nil"/>
            </w:tcBorders>
            <w:tcMar>
              <w:top w:w="0" w:type="dxa"/>
              <w:left w:w="62" w:type="dxa"/>
              <w:bottom w:w="0" w:type="dxa"/>
              <w:right w:w="62" w:type="dxa"/>
            </w:tcMar>
          </w:tcPr>
          <w:p w:rsidR="00000000" w:rsidP="00B84690">
            <w:pPr>
              <w:pStyle w:val="BodyText"/>
              <w:rPr>
                <w:lang w:val="en-NZ"/>
              </w:rPr>
            </w:pPr>
            <w:r w:rsidRPr="00B84690">
              <w:t>Set clock to time and confirm correct functioning of calendar and automatic night shut-off</w:t>
            </w:r>
          </w:p>
        </w:tc>
      </w:tr>
      <w:tr w:rsidTr="00B84690">
        <w:tblPrEx>
          <w:tblW w:w="0" w:type="auto"/>
          <w:tblLayout w:type="fixed"/>
          <w:tblCellMar>
            <w:left w:w="62" w:type="dxa"/>
            <w:right w:w="62" w:type="dxa"/>
          </w:tblCellMar>
          <w:tblLook w:val="0000"/>
        </w:tblPrEx>
        <w:trPr>
          <w:trHeight w:val="454"/>
        </w:trPr>
        <w:tc>
          <w:tcPr>
            <w:tcW w:w="9129" w:type="dxa"/>
            <w:gridSpan w:val="4"/>
            <w:tcBorders>
              <w:top w:val="nil"/>
              <w:left w:val="nil"/>
              <w:bottom w:val="nil"/>
              <w:right w:val="nil"/>
            </w:tcBorders>
            <w:tcMar>
              <w:top w:w="0" w:type="dxa"/>
              <w:left w:w="62" w:type="dxa"/>
              <w:bottom w:w="0" w:type="dxa"/>
              <w:right w:w="62" w:type="dxa"/>
            </w:tcMar>
          </w:tcPr>
          <w:p w:rsidR="00000000" w:rsidP="00B84690">
            <w:pPr>
              <w:pStyle w:val="BodyText"/>
              <w:rPr>
                <w:lang w:val="en-NZ"/>
              </w:rPr>
            </w:pPr>
          </w:p>
        </w:tc>
      </w:tr>
      <w:tr w:rsidTr="00B84690">
        <w:tblPrEx>
          <w:tblW w:w="0" w:type="auto"/>
          <w:tblLayout w:type="fixed"/>
          <w:tblCellMar>
            <w:left w:w="62" w:type="dxa"/>
            <w:right w:w="62" w:type="dxa"/>
          </w:tblCellMar>
          <w:tblLook w:val="0000"/>
        </w:tblPrEx>
        <w:trPr>
          <w:trHeight w:val="454"/>
        </w:trPr>
        <w:tc>
          <w:tcPr>
            <w:tcW w:w="686" w:type="dxa"/>
            <w:tcBorders>
              <w:top w:val="nil"/>
              <w:left w:val="nil"/>
              <w:bottom w:val="nil"/>
              <w:right w:val="nil"/>
            </w:tcBorders>
            <w:tcMar>
              <w:top w:w="0" w:type="dxa"/>
              <w:left w:w="62" w:type="dxa"/>
              <w:bottom w:w="0" w:type="dxa"/>
              <w:right w:w="62" w:type="dxa"/>
            </w:tcMar>
          </w:tcPr>
          <w:p w:rsidR="00000000" w:rsidRPr="00B84690" w:rsidP="00B84690">
            <w:pPr>
              <w:pStyle w:val="BodyText"/>
            </w:pPr>
            <w:r w:rsidRPr="00B84690">
              <w:t>6</w:t>
            </w:r>
          </w:p>
        </w:tc>
        <w:tc>
          <w:tcPr>
            <w:tcW w:w="1986" w:type="dxa"/>
            <w:vMerge w:val="restart"/>
            <w:tcBorders>
              <w:top w:val="nil"/>
              <w:left w:val="nil"/>
              <w:bottom w:val="nil"/>
              <w:right w:val="nil"/>
            </w:tcBorders>
            <w:tcMar>
              <w:top w:w="0" w:type="dxa"/>
              <w:left w:w="62" w:type="dxa"/>
              <w:bottom w:w="0" w:type="dxa"/>
              <w:right w:w="62" w:type="dxa"/>
            </w:tcMar>
          </w:tcPr>
          <w:p w:rsidR="00000000" w:rsidP="00B84690">
            <w:pPr>
              <w:pStyle w:val="BodyText"/>
              <w:rPr>
                <w:lang w:val="en-NZ"/>
              </w:rPr>
            </w:pPr>
            <w:r w:rsidRPr="00B84690">
              <w:rPr>
                <w:rStyle w:val="SpecialBold"/>
              </w:rPr>
              <w:t>Conduct basic clock regulation techniques</w:t>
            </w:r>
          </w:p>
        </w:tc>
        <w:tc>
          <w:tcPr>
            <w:tcW w:w="779" w:type="dxa"/>
            <w:tcBorders>
              <w:top w:val="nil"/>
              <w:left w:val="nil"/>
              <w:bottom w:val="nil"/>
              <w:right w:val="nil"/>
            </w:tcBorders>
            <w:tcMar>
              <w:top w:w="0" w:type="dxa"/>
              <w:left w:w="62" w:type="dxa"/>
              <w:bottom w:w="0" w:type="dxa"/>
              <w:right w:w="62" w:type="dxa"/>
            </w:tcMar>
          </w:tcPr>
          <w:p w:rsidR="00000000" w:rsidP="00B84690">
            <w:pPr>
              <w:pStyle w:val="BodyText"/>
              <w:rPr>
                <w:lang w:val="en-NZ"/>
              </w:rPr>
            </w:pPr>
            <w:r w:rsidRPr="00B84690">
              <w:t>6.1</w:t>
            </w:r>
          </w:p>
        </w:tc>
        <w:tc>
          <w:tcPr>
            <w:tcW w:w="5678" w:type="dxa"/>
            <w:tcBorders>
              <w:top w:val="nil"/>
              <w:left w:val="nil"/>
              <w:bottom w:val="nil"/>
              <w:right w:val="nil"/>
            </w:tcBorders>
            <w:tcMar>
              <w:top w:w="0" w:type="dxa"/>
              <w:left w:w="62" w:type="dxa"/>
              <w:bottom w:w="0" w:type="dxa"/>
              <w:right w:w="62" w:type="dxa"/>
            </w:tcMar>
          </w:tcPr>
          <w:p w:rsidR="00000000" w:rsidP="00B84690">
            <w:pPr>
              <w:pStyle w:val="BodyText"/>
              <w:rPr>
                <w:lang w:val="en-NZ"/>
              </w:rPr>
            </w:pPr>
            <w:r w:rsidRPr="00B84690">
              <w:t>Set up and use timing equipment in a correct manner</w:t>
            </w:r>
          </w:p>
        </w:tc>
      </w:tr>
      <w:tr w:rsidTr="00B84690">
        <w:tblPrEx>
          <w:tblW w:w="0" w:type="auto"/>
          <w:tblLayout w:type="fixed"/>
          <w:tblCellMar>
            <w:left w:w="62" w:type="dxa"/>
            <w:right w:w="62" w:type="dxa"/>
          </w:tblCellMar>
          <w:tblLook w:val="0000"/>
        </w:tblPrEx>
        <w:trPr>
          <w:trHeight w:val="454"/>
        </w:trPr>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84690">
            <w:pPr>
              <w:pStyle w:val="BodyText"/>
              <w:rPr>
                <w:lang w:val="en-NZ"/>
              </w:rPr>
            </w:pPr>
            <w:r w:rsidRPr="00B84690">
              <w:t>6.2</w:t>
            </w:r>
          </w:p>
        </w:tc>
        <w:tc>
          <w:tcPr>
            <w:tcW w:w="5678" w:type="dxa"/>
            <w:tcBorders>
              <w:top w:val="nil"/>
              <w:left w:val="nil"/>
              <w:bottom w:val="nil"/>
              <w:right w:val="nil"/>
            </w:tcBorders>
            <w:tcMar>
              <w:top w:w="0" w:type="dxa"/>
              <w:left w:w="62" w:type="dxa"/>
              <w:bottom w:w="0" w:type="dxa"/>
              <w:right w:w="62" w:type="dxa"/>
            </w:tcMar>
          </w:tcPr>
          <w:p w:rsidR="00000000" w:rsidP="00B84690">
            <w:pPr>
              <w:pStyle w:val="BodyText"/>
              <w:rPr>
                <w:lang w:val="en-NZ"/>
              </w:rPr>
            </w:pPr>
            <w:r w:rsidRPr="00B84690">
              <w:t>Verify pendulum rate</w:t>
            </w:r>
          </w:p>
        </w:tc>
      </w:tr>
      <w:tr w:rsidTr="00B84690">
        <w:tblPrEx>
          <w:tblW w:w="0" w:type="auto"/>
          <w:tblLayout w:type="fixed"/>
          <w:tblCellMar>
            <w:left w:w="62" w:type="dxa"/>
            <w:right w:w="62" w:type="dxa"/>
          </w:tblCellMar>
          <w:tblLook w:val="0000"/>
        </w:tblPrEx>
        <w:trPr>
          <w:trHeight w:val="454"/>
        </w:trPr>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84690">
            <w:pPr>
              <w:pStyle w:val="BodyText"/>
              <w:rPr>
                <w:lang w:val="en-NZ"/>
              </w:rPr>
            </w:pPr>
            <w:r w:rsidRPr="00B84690">
              <w:t>6.3</w:t>
            </w:r>
          </w:p>
        </w:tc>
        <w:tc>
          <w:tcPr>
            <w:tcW w:w="5678" w:type="dxa"/>
            <w:tcBorders>
              <w:top w:val="nil"/>
              <w:left w:val="nil"/>
              <w:bottom w:val="nil"/>
              <w:right w:val="nil"/>
            </w:tcBorders>
            <w:tcMar>
              <w:top w:w="0" w:type="dxa"/>
              <w:left w:w="62" w:type="dxa"/>
              <w:bottom w:w="0" w:type="dxa"/>
              <w:right w:w="62" w:type="dxa"/>
            </w:tcMar>
          </w:tcPr>
          <w:p w:rsidR="00000000" w:rsidRPr="00B84690" w:rsidP="00B84690">
            <w:pPr>
              <w:pStyle w:val="BodyText"/>
            </w:pPr>
            <w:r w:rsidRPr="00B84690">
              <w:t>Perform rate adjustments to achieve accurate timekeeping</w:t>
            </w:r>
          </w:p>
        </w:tc>
      </w:tr>
    </w:tbl>
    <w:p w:rsidR="00B41013" w:rsidP="00B84690">
      <w:pPr>
        <w:pStyle w:val="BodyText"/>
      </w:pPr>
    </w:p>
    <w:p w:rsidR="00B41013" w:rsidP="00B84690">
      <w:pPr>
        <w:pStyle w:val="BodyText"/>
      </w:pPr>
    </w:p>
    <w:p w:rsidR="00000000" w:rsidRPr="00B84690" w:rsidP="00B84690">
      <w:pPr>
        <w:pStyle w:val="Heading1"/>
      </w:pPr>
      <w:bookmarkStart w:id="6" w:name="O_951410"/>
      <w:bookmarkEnd w:id="6"/>
      <w:r w:rsidRPr="00B84690">
        <w:t>Foundation Skills</w:t>
      </w:r>
    </w:p>
    <w:p w:rsidR="00000000" w:rsidRPr="00B84690" w:rsidP="00B41013">
      <w:pPr>
        <w:pStyle w:val="BodyText"/>
      </w:pPr>
      <w:r w:rsidRPr="00B84690">
        <w:t xml:space="preserve">This section describes those required skills (reading, writing, oral communication and numeracy) that are essential to workplace performance in this unit of competency.  </w:t>
      </w:r>
    </w:p>
    <w:p w:rsidR="00000000" w:rsidRPr="00B84690" w:rsidP="00B41013">
      <w:pPr>
        <w:pStyle w:val="BodyText"/>
      </w:pPr>
      <w:r w:rsidRPr="00B84690">
        <w:t xml:space="preserve">Foundation skills essential to performance are explicit in the performance criteria </w:t>
      </w:r>
      <w:r w:rsidRPr="00B84690">
        <w:t>of this unit of competency.</w:t>
      </w:r>
    </w:p>
    <w:p w:rsidR="00000000" w:rsidRPr="00B84690" w:rsidP="00B84690">
      <w:pPr>
        <w:pStyle w:val="Heading1"/>
      </w:pPr>
      <w:bookmarkStart w:id="7" w:name="O_951409"/>
      <w:bookmarkEnd w:id="7"/>
      <w:r w:rsidRPr="00B84690">
        <w:t>Range of Conditions</w:t>
      </w:r>
    </w:p>
    <w:tbl>
      <w:tblPr>
        <w:tblW w:w="0" w:type="auto"/>
        <w:tblLayout w:type="fixed"/>
        <w:tblCellMar>
          <w:left w:w="62" w:type="dxa"/>
          <w:right w:w="62" w:type="dxa"/>
        </w:tblCellMar>
        <w:tblLook w:val="0000"/>
      </w:tblPr>
      <w:tblGrid>
        <w:gridCol w:w="2641"/>
        <w:gridCol w:w="6501"/>
      </w:tblGrid>
      <w:tr w:rsidTr="00B84690">
        <w:tblPrEx>
          <w:tblW w:w="0" w:type="auto"/>
          <w:tblLayout w:type="fixed"/>
          <w:tblCellMar>
            <w:left w:w="62" w:type="dxa"/>
            <w:right w:w="62" w:type="dxa"/>
          </w:tblCellMar>
          <w:tblLook w:val="0000"/>
        </w:tblPrEx>
        <w:trPr>
          <w:tblHeader/>
        </w:trPr>
        <w:tc>
          <w:tcPr>
            <w:tcW w:w="9142" w:type="dxa"/>
            <w:gridSpan w:val="2"/>
            <w:tcBorders>
              <w:top w:val="nil"/>
              <w:left w:val="nil"/>
              <w:bottom w:val="nil"/>
              <w:right w:val="nil"/>
            </w:tcBorders>
            <w:tcMar>
              <w:top w:w="0" w:type="dxa"/>
              <w:left w:w="62" w:type="dxa"/>
              <w:bottom w:w="0" w:type="dxa"/>
              <w:right w:w="62" w:type="dxa"/>
            </w:tcMar>
          </w:tcPr>
          <w:p w:rsidR="00000000" w:rsidP="00B84690">
            <w:pPr>
              <w:pStyle w:val="BodyText"/>
              <w:rPr>
                <w:lang w:val="en-NZ"/>
              </w:rPr>
            </w:pPr>
            <w:r w:rsidRPr="00B84690">
              <w:t>This field allows for different work environments and conditions that may affect performance. Essential operating conditions that may be present (depending on the work situation, needs of the</w:t>
            </w:r>
            <w:r w:rsidRPr="00B84690">
              <w:t xml:space="preserve"> candidate, accessibility of the item, and local industry and regional contexts) are included.</w:t>
            </w:r>
          </w:p>
        </w:tc>
      </w:tr>
      <w:tr w:rsidTr="00B84690">
        <w:tblPrEx>
          <w:tblW w:w="0" w:type="auto"/>
          <w:tblLayout w:type="fixed"/>
          <w:tblCellMar>
            <w:left w:w="62" w:type="dxa"/>
            <w:right w:w="62" w:type="dxa"/>
          </w:tblCellMar>
          <w:tblLook w:val="0000"/>
        </w:tblPrEx>
        <w:trPr>
          <w:trHeight w:val="1210"/>
        </w:trPr>
        <w:tc>
          <w:tcPr>
            <w:tcW w:w="2641" w:type="dxa"/>
            <w:tcBorders>
              <w:top w:val="nil"/>
              <w:left w:val="nil"/>
              <w:bottom w:val="nil"/>
              <w:right w:val="nil"/>
            </w:tcBorders>
            <w:tcMar>
              <w:top w:w="0" w:type="dxa"/>
              <w:left w:w="62" w:type="dxa"/>
              <w:bottom w:w="0" w:type="dxa"/>
              <w:right w:w="62" w:type="dxa"/>
            </w:tcMar>
          </w:tcPr>
          <w:p w:rsidR="00000000" w:rsidP="00B84690">
            <w:pPr>
              <w:pStyle w:val="BodyText"/>
              <w:rPr>
                <w:lang w:val="en-NZ"/>
              </w:rPr>
            </w:pPr>
            <w:r w:rsidRPr="00B84690">
              <w:rPr>
                <w:rStyle w:val="SpecialBold"/>
              </w:rPr>
              <w:t>Prepare the clock includes the following:</w:t>
            </w:r>
          </w:p>
        </w:tc>
        <w:tc>
          <w:tcPr>
            <w:tcW w:w="6501" w:type="dxa"/>
            <w:tcBorders>
              <w:top w:val="nil"/>
              <w:left w:val="nil"/>
              <w:bottom w:val="nil"/>
              <w:right w:val="nil"/>
            </w:tcBorders>
            <w:tcMar>
              <w:top w:w="0" w:type="dxa"/>
              <w:left w:w="62" w:type="dxa"/>
              <w:bottom w:w="0" w:type="dxa"/>
              <w:right w:w="62" w:type="dxa"/>
            </w:tcMar>
          </w:tcPr>
          <w:p w:rsidR="00000000" w:rsidRPr="00B84690" w:rsidP="00B84690">
            <w:pPr>
              <w:pStyle w:val="ListBullet"/>
            </w:pPr>
            <w:r w:rsidRPr="00B84690">
              <w:t>separating and packaging of components</w:t>
            </w:r>
          </w:p>
          <w:p w:rsidR="00000000" w:rsidRPr="00B84690" w:rsidP="00B84690">
            <w:pPr>
              <w:pStyle w:val="ListBullet"/>
            </w:pPr>
            <w:r w:rsidRPr="00B84690">
              <w:t>partial dismantling of clock (pendulum and weights)</w:t>
            </w:r>
          </w:p>
          <w:p w:rsidR="00000000" w:rsidP="00B84690">
            <w:pPr>
              <w:pStyle w:val="ListBullet"/>
              <w:rPr>
                <w:lang w:val="en-NZ"/>
              </w:rPr>
            </w:pPr>
            <w:r w:rsidRPr="00B84690">
              <w:t>secure gong rods/hammers</w:t>
            </w:r>
          </w:p>
        </w:tc>
      </w:tr>
      <w:tr w:rsidTr="00B84690">
        <w:tblPrEx>
          <w:tblW w:w="0" w:type="auto"/>
          <w:tblLayout w:type="fixed"/>
          <w:tblCellMar>
            <w:left w:w="62" w:type="dxa"/>
            <w:right w:w="62" w:type="dxa"/>
          </w:tblCellMar>
          <w:tblLook w:val="0000"/>
        </w:tblPrEx>
        <w:trPr>
          <w:trHeight w:val="2061"/>
        </w:trPr>
        <w:tc>
          <w:tcPr>
            <w:tcW w:w="2641" w:type="dxa"/>
            <w:tcBorders>
              <w:top w:val="nil"/>
              <w:left w:val="nil"/>
              <w:bottom w:val="nil"/>
              <w:right w:val="nil"/>
            </w:tcBorders>
            <w:tcMar>
              <w:top w:w="0" w:type="dxa"/>
              <w:left w:w="62" w:type="dxa"/>
              <w:bottom w:w="0" w:type="dxa"/>
              <w:right w:w="62" w:type="dxa"/>
            </w:tcMar>
          </w:tcPr>
          <w:p w:rsidR="00000000" w:rsidP="00B84690">
            <w:pPr>
              <w:pStyle w:val="BodyText"/>
              <w:rPr>
                <w:lang w:val="en-NZ"/>
              </w:rPr>
            </w:pPr>
            <w:r w:rsidRPr="00B84690">
              <w:rPr>
                <w:rStyle w:val="SpecialBold"/>
              </w:rPr>
              <w:t>Clock handover includes the following:</w:t>
            </w:r>
          </w:p>
        </w:tc>
        <w:tc>
          <w:tcPr>
            <w:tcW w:w="6501" w:type="dxa"/>
            <w:tcBorders>
              <w:top w:val="nil"/>
              <w:left w:val="nil"/>
              <w:bottom w:val="nil"/>
              <w:right w:val="nil"/>
            </w:tcBorders>
            <w:tcMar>
              <w:top w:w="0" w:type="dxa"/>
              <w:left w:w="62" w:type="dxa"/>
              <w:bottom w:w="0" w:type="dxa"/>
              <w:right w:w="62" w:type="dxa"/>
            </w:tcMar>
          </w:tcPr>
          <w:p w:rsidR="00000000" w:rsidRPr="00B84690" w:rsidP="00B84690">
            <w:pPr>
              <w:pStyle w:val="ListBullet"/>
            </w:pPr>
            <w:r w:rsidRPr="00B84690">
              <w:t>informing customer of features and characteristics of clock</w:t>
            </w:r>
          </w:p>
          <w:p w:rsidR="00000000" w:rsidRPr="00B84690" w:rsidP="00B84690">
            <w:pPr>
              <w:pStyle w:val="ListBullet"/>
            </w:pPr>
            <w:r w:rsidRPr="00B84690">
              <w:t>demonstrating winding and setting procedures for clock</w:t>
            </w:r>
          </w:p>
          <w:p w:rsidR="00000000" w:rsidRPr="00B84690" w:rsidP="00B84690">
            <w:pPr>
              <w:pStyle w:val="ListBullet"/>
            </w:pPr>
            <w:r w:rsidRPr="00B84690">
              <w:t>informing customer of operation/switching of any automatic night silent/shut-off for chiming/strikin</w:t>
            </w:r>
            <w:r w:rsidRPr="00B84690">
              <w:t xml:space="preserve">g mechanism </w:t>
            </w:r>
          </w:p>
          <w:p w:rsidR="00000000" w:rsidRPr="00B84690" w:rsidP="00B84690">
            <w:pPr>
              <w:pStyle w:val="ListBullet"/>
            </w:pPr>
            <w:r w:rsidRPr="00B84690">
              <w:t>warranty information</w:t>
            </w:r>
          </w:p>
          <w:p w:rsidR="00000000" w:rsidP="00B84690">
            <w:pPr>
              <w:pStyle w:val="ListBullet"/>
              <w:rPr>
                <w:lang w:val="en-NZ"/>
              </w:rPr>
            </w:pPr>
            <w:r w:rsidRPr="00B84690">
              <w:t>recording date of installation</w:t>
            </w:r>
          </w:p>
        </w:tc>
      </w:tr>
      <w:tr w:rsidTr="00B84690">
        <w:tblPrEx>
          <w:tblW w:w="0" w:type="auto"/>
          <w:tblLayout w:type="fixed"/>
          <w:tblCellMar>
            <w:left w:w="62" w:type="dxa"/>
            <w:right w:w="62" w:type="dxa"/>
          </w:tblCellMar>
          <w:tblLook w:val="0000"/>
        </w:tblPrEx>
        <w:trPr>
          <w:trHeight w:val="2152"/>
        </w:trPr>
        <w:tc>
          <w:tcPr>
            <w:tcW w:w="2641" w:type="dxa"/>
            <w:tcBorders>
              <w:top w:val="nil"/>
              <w:left w:val="nil"/>
              <w:bottom w:val="nil"/>
              <w:right w:val="nil"/>
            </w:tcBorders>
            <w:tcMar>
              <w:top w:w="0" w:type="dxa"/>
              <w:left w:w="62" w:type="dxa"/>
              <w:bottom w:w="0" w:type="dxa"/>
              <w:right w:w="62" w:type="dxa"/>
            </w:tcMar>
          </w:tcPr>
          <w:p w:rsidR="00000000" w:rsidP="00B84690">
            <w:pPr>
              <w:pStyle w:val="BodyText"/>
              <w:rPr>
                <w:lang w:val="en-NZ"/>
              </w:rPr>
            </w:pPr>
            <w:r w:rsidRPr="00B84690">
              <w:rPr>
                <w:rStyle w:val="SpecialBold"/>
              </w:rPr>
              <w:t>Tools and equipment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B84690" w:rsidP="00B84690">
            <w:pPr>
              <w:pStyle w:val="ListBullet"/>
            </w:pPr>
            <w:r w:rsidRPr="00B84690">
              <w:t xml:space="preserve">hand tools </w:t>
            </w:r>
          </w:p>
          <w:p w:rsidR="00000000" w:rsidRPr="00B84690" w:rsidP="00B84690">
            <w:pPr>
              <w:pStyle w:val="ListBullet"/>
            </w:pPr>
            <w:r w:rsidRPr="00B84690">
              <w:t>drills</w:t>
            </w:r>
          </w:p>
          <w:p w:rsidR="00000000" w:rsidRPr="00B84690" w:rsidP="00B84690">
            <w:pPr>
              <w:pStyle w:val="ListBullet"/>
            </w:pPr>
            <w:r w:rsidRPr="00B84690">
              <w:t>spirit level</w:t>
            </w:r>
          </w:p>
          <w:p w:rsidR="00000000" w:rsidRPr="00B84690" w:rsidP="00B84690">
            <w:pPr>
              <w:pStyle w:val="ListBullet"/>
            </w:pPr>
            <w:r w:rsidRPr="00B84690">
              <w:t>power tools</w:t>
            </w:r>
          </w:p>
          <w:p w:rsidR="00000000" w:rsidRPr="00B84690" w:rsidP="00B84690">
            <w:pPr>
              <w:pStyle w:val="ListBullet"/>
            </w:pPr>
            <w:r w:rsidRPr="00B84690">
              <w:t>safety equipment, including personal protective equipment</w:t>
            </w:r>
          </w:p>
          <w:p w:rsidR="00000000" w:rsidP="00B84690">
            <w:pPr>
              <w:pStyle w:val="ListBullet"/>
              <w:rPr>
                <w:lang w:val="en-NZ"/>
              </w:rPr>
            </w:pPr>
            <w:r w:rsidRPr="00B84690">
              <w:t xml:space="preserve">cleaning equipment </w:t>
            </w:r>
          </w:p>
        </w:tc>
      </w:tr>
      <w:tr w:rsidTr="00B84690">
        <w:tblPrEx>
          <w:tblW w:w="0" w:type="auto"/>
          <w:tblLayout w:type="fixed"/>
          <w:tblCellMar>
            <w:left w:w="62" w:type="dxa"/>
            <w:right w:w="62" w:type="dxa"/>
          </w:tblCellMar>
          <w:tblLook w:val="0000"/>
        </w:tblPrEx>
        <w:trPr>
          <w:trHeight w:val="1210"/>
        </w:trPr>
        <w:tc>
          <w:tcPr>
            <w:tcW w:w="2641" w:type="dxa"/>
            <w:tcBorders>
              <w:top w:val="nil"/>
              <w:left w:val="nil"/>
              <w:bottom w:val="nil"/>
              <w:right w:val="nil"/>
            </w:tcBorders>
            <w:tcMar>
              <w:top w:w="0" w:type="dxa"/>
              <w:left w:w="62" w:type="dxa"/>
              <w:bottom w:w="0" w:type="dxa"/>
              <w:right w:w="62" w:type="dxa"/>
            </w:tcMar>
          </w:tcPr>
          <w:p w:rsidR="00000000" w:rsidP="00B84690">
            <w:pPr>
              <w:pStyle w:val="BodyText"/>
              <w:rPr>
                <w:lang w:val="en-NZ"/>
              </w:rPr>
            </w:pPr>
            <w:r w:rsidRPr="00B84690">
              <w:rPr>
                <w:rStyle w:val="SpecialBold"/>
              </w:rPr>
              <w:t>Verify completeness includes the following:</w:t>
            </w:r>
          </w:p>
        </w:tc>
        <w:tc>
          <w:tcPr>
            <w:tcW w:w="6501" w:type="dxa"/>
            <w:tcBorders>
              <w:top w:val="nil"/>
              <w:left w:val="nil"/>
              <w:bottom w:val="nil"/>
              <w:right w:val="nil"/>
            </w:tcBorders>
            <w:tcMar>
              <w:top w:w="0" w:type="dxa"/>
              <w:left w:w="62" w:type="dxa"/>
              <w:bottom w:w="0" w:type="dxa"/>
              <w:right w:w="62" w:type="dxa"/>
            </w:tcMar>
          </w:tcPr>
          <w:p w:rsidR="00000000" w:rsidRPr="00B84690" w:rsidP="00B84690">
            <w:pPr>
              <w:pStyle w:val="ListBullet"/>
            </w:pPr>
            <w:r w:rsidRPr="00B84690">
              <w:t>all components checked against packing slip/component list</w:t>
            </w:r>
          </w:p>
          <w:p w:rsidR="00000000" w:rsidRPr="00B84690" w:rsidP="00B84690">
            <w:pPr>
              <w:pStyle w:val="ListBullet"/>
            </w:pPr>
            <w:r w:rsidRPr="00B84690">
              <w:t>case parts, pendulum, weights and key</w:t>
            </w:r>
          </w:p>
          <w:p w:rsidR="00000000" w:rsidP="00B84690">
            <w:pPr>
              <w:pStyle w:val="ListBullet"/>
              <w:rPr>
                <w:lang w:val="en-NZ"/>
              </w:rPr>
            </w:pPr>
            <w:r w:rsidRPr="00B84690">
              <w:t>striking and chiming rods, bells or tubes</w:t>
            </w:r>
          </w:p>
        </w:tc>
      </w:tr>
      <w:tr w:rsidTr="00B84690">
        <w:tblPrEx>
          <w:tblW w:w="0" w:type="auto"/>
          <w:tblLayout w:type="fixed"/>
          <w:tblCellMar>
            <w:left w:w="62" w:type="dxa"/>
            <w:right w:w="62" w:type="dxa"/>
          </w:tblCellMar>
          <w:tblLook w:val="0000"/>
        </w:tblPrEx>
        <w:trPr>
          <w:trHeight w:val="2451"/>
        </w:trPr>
        <w:tc>
          <w:tcPr>
            <w:tcW w:w="2641" w:type="dxa"/>
            <w:tcBorders>
              <w:top w:val="nil"/>
              <w:left w:val="nil"/>
              <w:bottom w:val="nil"/>
              <w:right w:val="nil"/>
            </w:tcBorders>
            <w:tcMar>
              <w:top w:w="0" w:type="dxa"/>
              <w:left w:w="62" w:type="dxa"/>
              <w:bottom w:w="0" w:type="dxa"/>
              <w:right w:w="62" w:type="dxa"/>
            </w:tcMar>
          </w:tcPr>
          <w:p w:rsidR="00000000" w:rsidP="00B84690">
            <w:pPr>
              <w:pStyle w:val="BodyText"/>
              <w:rPr>
                <w:lang w:val="en-NZ"/>
              </w:rPr>
            </w:pPr>
            <w:r w:rsidRPr="00B84690">
              <w:rPr>
                <w:rStyle w:val="SpecialBold"/>
              </w:rPr>
              <w:t>Appropriate methods and fixings include one (1) or more of the followin</w:t>
            </w:r>
            <w:r w:rsidRPr="00B84690">
              <w:rPr>
                <w:rStyle w:val="SpecialBold"/>
              </w:rPr>
              <w:t>g:</w:t>
            </w:r>
          </w:p>
        </w:tc>
        <w:tc>
          <w:tcPr>
            <w:tcW w:w="6501" w:type="dxa"/>
            <w:tcBorders>
              <w:top w:val="nil"/>
              <w:left w:val="nil"/>
              <w:bottom w:val="nil"/>
              <w:right w:val="nil"/>
            </w:tcBorders>
            <w:tcMar>
              <w:top w:w="0" w:type="dxa"/>
              <w:left w:w="62" w:type="dxa"/>
              <w:bottom w:w="0" w:type="dxa"/>
              <w:right w:w="62" w:type="dxa"/>
            </w:tcMar>
          </w:tcPr>
          <w:p w:rsidR="00000000" w:rsidRPr="00B84690" w:rsidP="00B84690">
            <w:pPr>
              <w:pStyle w:val="ListBullet"/>
            </w:pPr>
            <w:r w:rsidRPr="00B84690">
              <w:t xml:space="preserve">suitable location/position identified: </w:t>
            </w:r>
          </w:p>
          <w:p w:rsidR="00000000" w:rsidRPr="00B84690" w:rsidP="00B84690">
            <w:pPr>
              <w:pStyle w:val="ListBullet2"/>
            </w:pPr>
            <w:r w:rsidRPr="00B84690">
              <w:t>level</w:t>
            </w:r>
          </w:p>
          <w:p w:rsidR="00000000" w:rsidRPr="00B84690" w:rsidP="00B84690">
            <w:pPr>
              <w:pStyle w:val="ListBullet2"/>
            </w:pPr>
            <w:r w:rsidRPr="00B84690">
              <w:t>stable</w:t>
            </w:r>
          </w:p>
          <w:p w:rsidR="00000000" w:rsidRPr="00B84690" w:rsidP="00B84690">
            <w:pPr>
              <w:pStyle w:val="ListBullet2"/>
            </w:pPr>
            <w:r w:rsidRPr="00B84690">
              <w:t xml:space="preserve">drafts </w:t>
            </w:r>
          </w:p>
          <w:p w:rsidR="00000000" w:rsidRPr="00B84690" w:rsidP="00B84690">
            <w:pPr>
              <w:pStyle w:val="ListBullet2"/>
            </w:pPr>
            <w:r w:rsidRPr="00B84690">
              <w:t>people traffic</w:t>
            </w:r>
          </w:p>
          <w:p w:rsidR="00000000" w:rsidRPr="00B84690" w:rsidP="00B84690">
            <w:pPr>
              <w:pStyle w:val="ListBullet"/>
            </w:pPr>
            <w:r w:rsidRPr="00B84690">
              <w:t>wedges</w:t>
            </w:r>
          </w:p>
          <w:p w:rsidR="00000000" w:rsidP="00B84690">
            <w:pPr>
              <w:pStyle w:val="ListBullet"/>
              <w:rPr>
                <w:lang w:val="en-NZ"/>
              </w:rPr>
            </w:pPr>
            <w:r w:rsidRPr="00B84690">
              <w:t>floor and wall fixings</w:t>
            </w:r>
          </w:p>
        </w:tc>
      </w:tr>
      <w:tr w:rsidTr="00B84690">
        <w:tblPrEx>
          <w:tblW w:w="0" w:type="auto"/>
          <w:tblLayout w:type="fixed"/>
          <w:tblCellMar>
            <w:left w:w="62" w:type="dxa"/>
            <w:right w:w="62" w:type="dxa"/>
          </w:tblCellMar>
          <w:tblLook w:val="0000"/>
        </w:tblPrEx>
        <w:trPr>
          <w:trHeight w:val="1531"/>
        </w:trPr>
        <w:tc>
          <w:tcPr>
            <w:tcW w:w="2641" w:type="dxa"/>
            <w:tcBorders>
              <w:top w:val="nil"/>
              <w:left w:val="nil"/>
              <w:bottom w:val="nil"/>
              <w:right w:val="nil"/>
            </w:tcBorders>
            <w:tcMar>
              <w:top w:w="0" w:type="dxa"/>
              <w:left w:w="62" w:type="dxa"/>
              <w:bottom w:w="0" w:type="dxa"/>
              <w:right w:w="62" w:type="dxa"/>
            </w:tcMar>
          </w:tcPr>
          <w:p w:rsidR="00000000" w:rsidP="00B84690">
            <w:pPr>
              <w:pStyle w:val="BodyText"/>
              <w:rPr>
                <w:lang w:val="en-NZ"/>
              </w:rPr>
            </w:pPr>
            <w:r w:rsidRPr="00B84690">
              <w:rPr>
                <w:rStyle w:val="SpecialBold"/>
              </w:rPr>
              <w:t>Clock functions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B84690" w:rsidP="00B84690">
            <w:pPr>
              <w:pStyle w:val="ListBullet"/>
            </w:pPr>
            <w:r w:rsidRPr="00B84690">
              <w:t xml:space="preserve">pendulum in-beat </w:t>
            </w:r>
          </w:p>
          <w:p w:rsidR="00000000" w:rsidRPr="00B84690" w:rsidP="00B84690">
            <w:pPr>
              <w:pStyle w:val="ListBullet"/>
            </w:pPr>
            <w:r w:rsidRPr="00B84690">
              <w:t>striking and chiming</w:t>
            </w:r>
          </w:p>
          <w:p w:rsidR="00000000" w:rsidRPr="00B84690" w:rsidP="00B84690">
            <w:pPr>
              <w:pStyle w:val="ListBullet"/>
            </w:pPr>
            <w:r w:rsidRPr="00B84690">
              <w:t>winding and setting</w:t>
            </w:r>
          </w:p>
          <w:p w:rsidR="00000000" w:rsidP="00B84690">
            <w:pPr>
              <w:pStyle w:val="ListBullet"/>
              <w:rPr>
                <w:lang w:val="en-NZ"/>
              </w:rPr>
            </w:pPr>
            <w:r w:rsidRPr="00B84690">
              <w:t xml:space="preserve">calendar-moon phase </w:t>
            </w:r>
          </w:p>
        </w:tc>
      </w:tr>
      <w:tr w:rsidTr="00B84690">
        <w:tblPrEx>
          <w:tblW w:w="0" w:type="auto"/>
          <w:tblLayout w:type="fixed"/>
          <w:tblCellMar>
            <w:left w:w="62" w:type="dxa"/>
            <w:right w:w="62" w:type="dxa"/>
          </w:tblCellMar>
          <w:tblLook w:val="0000"/>
        </w:tblPrEx>
        <w:trPr>
          <w:trHeight w:val="1253"/>
        </w:trPr>
        <w:tc>
          <w:tcPr>
            <w:tcW w:w="2641" w:type="dxa"/>
            <w:tcBorders>
              <w:top w:val="nil"/>
              <w:left w:val="nil"/>
              <w:bottom w:val="nil"/>
              <w:right w:val="nil"/>
            </w:tcBorders>
            <w:tcMar>
              <w:top w:w="0" w:type="dxa"/>
              <w:left w:w="62" w:type="dxa"/>
              <w:bottom w:w="0" w:type="dxa"/>
              <w:right w:w="62" w:type="dxa"/>
            </w:tcMar>
          </w:tcPr>
          <w:p w:rsidR="00000000" w:rsidP="00B84690">
            <w:pPr>
              <w:pStyle w:val="BodyText"/>
              <w:rPr>
                <w:lang w:val="en-NZ"/>
              </w:rPr>
            </w:pPr>
            <w:r w:rsidRPr="00B84690">
              <w:rPr>
                <w:rStyle w:val="SpecialBold"/>
              </w:rPr>
              <w:t>In-beat assessment includes the following:</w:t>
            </w:r>
          </w:p>
        </w:tc>
        <w:tc>
          <w:tcPr>
            <w:tcW w:w="6501" w:type="dxa"/>
            <w:tcBorders>
              <w:top w:val="nil"/>
              <w:left w:val="nil"/>
              <w:bottom w:val="nil"/>
              <w:right w:val="nil"/>
            </w:tcBorders>
            <w:tcMar>
              <w:top w:w="0" w:type="dxa"/>
              <w:left w:w="62" w:type="dxa"/>
              <w:bottom w:w="0" w:type="dxa"/>
              <w:right w:w="62" w:type="dxa"/>
            </w:tcMar>
          </w:tcPr>
          <w:p w:rsidR="00000000" w:rsidRPr="00B84690" w:rsidP="00B84690">
            <w:pPr>
              <w:pStyle w:val="ListBullet"/>
            </w:pPr>
            <w:r w:rsidRPr="00B84690">
              <w:t>clock secure and level position</w:t>
            </w:r>
          </w:p>
          <w:p w:rsidR="00000000" w:rsidRPr="00B84690" w:rsidP="00B84690">
            <w:pPr>
              <w:pStyle w:val="ListBullet"/>
            </w:pPr>
            <w:r w:rsidRPr="00B84690">
              <w:t>pendulum assembly complete and correctly attached</w:t>
            </w:r>
          </w:p>
          <w:p w:rsidR="00000000" w:rsidP="00B84690">
            <w:pPr>
              <w:pStyle w:val="ListBullet"/>
              <w:rPr>
                <w:lang w:val="en-NZ"/>
              </w:rPr>
            </w:pPr>
            <w:r w:rsidRPr="00B84690">
              <w:t>listen for evidence of even tick</w:t>
            </w:r>
          </w:p>
        </w:tc>
      </w:tr>
      <w:tr w:rsidTr="00B84690">
        <w:tblPrEx>
          <w:tblW w:w="0" w:type="auto"/>
          <w:tblLayout w:type="fixed"/>
          <w:tblCellMar>
            <w:left w:w="62" w:type="dxa"/>
            <w:right w:w="62" w:type="dxa"/>
          </w:tblCellMar>
          <w:tblLook w:val="0000"/>
        </w:tblPrEx>
        <w:trPr>
          <w:trHeight w:val="1510"/>
        </w:trPr>
        <w:tc>
          <w:tcPr>
            <w:tcW w:w="2641" w:type="dxa"/>
            <w:tcBorders>
              <w:top w:val="nil"/>
              <w:left w:val="nil"/>
              <w:bottom w:val="nil"/>
              <w:right w:val="nil"/>
            </w:tcBorders>
            <w:tcMar>
              <w:top w:w="0" w:type="dxa"/>
              <w:left w:w="62" w:type="dxa"/>
              <w:bottom w:w="0" w:type="dxa"/>
              <w:right w:w="62" w:type="dxa"/>
            </w:tcMar>
          </w:tcPr>
          <w:p w:rsidR="00000000" w:rsidP="00B84690">
            <w:pPr>
              <w:pStyle w:val="BodyText"/>
              <w:rPr>
                <w:lang w:val="en-NZ"/>
              </w:rPr>
            </w:pPr>
            <w:r w:rsidRPr="00B84690">
              <w:rPr>
                <w:rStyle w:val="SpecialBold"/>
              </w:rPr>
              <w:t>In-beat adjustment method includes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B84690" w:rsidP="00B84690">
            <w:pPr>
              <w:pStyle w:val="ListBullet"/>
            </w:pPr>
            <w:r w:rsidRPr="00B84690">
              <w:t>friction crutch</w:t>
            </w:r>
          </w:p>
          <w:p w:rsidR="00000000" w:rsidRPr="00B84690" w:rsidP="00B84690">
            <w:pPr>
              <w:pStyle w:val="ListBullet"/>
            </w:pPr>
            <w:r w:rsidRPr="00B84690">
              <w:t xml:space="preserve">cam wheel </w:t>
            </w:r>
          </w:p>
          <w:p w:rsidR="00000000" w:rsidRPr="00B84690" w:rsidP="00B84690">
            <w:pPr>
              <w:pStyle w:val="ListBullet"/>
            </w:pPr>
            <w:r w:rsidRPr="00B84690">
              <w:t>bending crutch</w:t>
            </w:r>
          </w:p>
          <w:p w:rsidR="00000000" w:rsidP="00B84690">
            <w:pPr>
              <w:pStyle w:val="ListBullet"/>
              <w:rPr>
                <w:lang w:val="en-NZ"/>
              </w:rPr>
            </w:pPr>
            <w:r w:rsidRPr="00B84690">
              <w:t xml:space="preserve">automatic beat adjuster </w:t>
            </w:r>
          </w:p>
        </w:tc>
      </w:tr>
      <w:tr w:rsidTr="00B84690">
        <w:tblPrEx>
          <w:tblW w:w="0" w:type="auto"/>
          <w:tblLayout w:type="fixed"/>
          <w:tblCellMar>
            <w:left w:w="62" w:type="dxa"/>
            <w:right w:w="62" w:type="dxa"/>
          </w:tblCellMar>
          <w:tblLook w:val="0000"/>
        </w:tblPrEx>
        <w:trPr>
          <w:trHeight w:val="1510"/>
        </w:trPr>
        <w:tc>
          <w:tcPr>
            <w:tcW w:w="2641" w:type="dxa"/>
            <w:tcBorders>
              <w:top w:val="nil"/>
              <w:left w:val="nil"/>
              <w:bottom w:val="nil"/>
              <w:right w:val="nil"/>
            </w:tcBorders>
            <w:tcMar>
              <w:top w:w="0" w:type="dxa"/>
              <w:left w:w="62" w:type="dxa"/>
              <w:bottom w:w="0" w:type="dxa"/>
              <w:right w:w="62" w:type="dxa"/>
            </w:tcMar>
          </w:tcPr>
          <w:p w:rsidR="00000000" w:rsidP="00B84690">
            <w:pPr>
              <w:pStyle w:val="BodyText"/>
              <w:rPr>
                <w:lang w:val="en-NZ"/>
              </w:rPr>
            </w:pPr>
            <w:r w:rsidRPr="00B84690">
              <w:rPr>
                <w:rStyle w:val="SpecialBold"/>
              </w:rPr>
              <w:t>Rate adjustments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B84690" w:rsidP="00B84690">
            <w:pPr>
              <w:pStyle w:val="ListBullet"/>
            </w:pPr>
            <w:r w:rsidRPr="00B84690">
              <w:t>effect of changing pendulum length</w:t>
            </w:r>
          </w:p>
          <w:p w:rsidR="00000000" w:rsidRPr="00B84690" w:rsidP="00B84690">
            <w:pPr>
              <w:pStyle w:val="BodyText"/>
            </w:pPr>
            <w:r w:rsidRPr="00B84690">
              <w:t>(shortening = gain, lengthening = loss)</w:t>
            </w:r>
          </w:p>
          <w:p w:rsidR="00000000" w:rsidRPr="00B84690" w:rsidP="00B84690">
            <w:pPr>
              <w:pStyle w:val="ListBullet"/>
            </w:pPr>
            <w:r w:rsidRPr="00B84690">
              <w:t xml:space="preserve">methods of adjusting bob position </w:t>
            </w:r>
          </w:p>
          <w:p w:rsidR="00000000" w:rsidRPr="00B84690" w:rsidP="00B84690">
            <w:pPr>
              <w:pStyle w:val="ListBullet"/>
            </w:pPr>
            <w:r w:rsidRPr="00B84690">
              <w:t xml:space="preserve">French devices </w:t>
            </w:r>
          </w:p>
          <w:p w:rsidR="00000000" w:rsidRPr="00B84690" w:rsidP="00B84690">
            <w:pPr>
              <w:pStyle w:val="ListBullet"/>
            </w:pPr>
            <w:r w:rsidRPr="00B84690">
              <w:t>weight trays</w:t>
            </w:r>
          </w:p>
        </w:tc>
      </w:tr>
    </w:tbl>
    <w:p w:rsidR="00000000" w:rsidRPr="00B84690" w:rsidP="00B84690">
      <w:pPr>
        <w:pStyle w:val="BodyText"/>
      </w:pPr>
    </w:p>
    <w:p w:rsidR="00000000" w:rsidRPr="00B84690" w:rsidP="00B84690">
      <w:pPr>
        <w:pStyle w:val="AllowPageBreak"/>
      </w:pPr>
    </w:p>
    <w:p w:rsidR="00000000" w:rsidRPr="00B84690" w:rsidP="00B84690">
      <w:pPr>
        <w:pStyle w:val="Heading1"/>
      </w:pPr>
      <w:bookmarkStart w:id="8" w:name="O_951408"/>
      <w:bookmarkEnd w:id="8"/>
      <w:r w:rsidRPr="00B84690">
        <w:t>Unit Mapping Information</w:t>
      </w:r>
    </w:p>
    <w:p w:rsidR="00000000" w:rsidRPr="00B84690" w:rsidP="00B41013">
      <w:pPr>
        <w:pStyle w:val="BodyText"/>
      </w:pPr>
      <w:r w:rsidRPr="00B84690">
        <w:t xml:space="preserve">Release 1. Supersedes and is equivalent to MEM21016A Install and set up clocks </w:t>
      </w:r>
    </w:p>
    <w:p w:rsidR="00000000" w:rsidRPr="00B84690" w:rsidP="00B84690">
      <w:pPr>
        <w:pStyle w:val="Heading1"/>
      </w:pPr>
      <w:bookmarkStart w:id="9" w:name="O_951401"/>
      <w:bookmarkEnd w:id="9"/>
      <w:r w:rsidRPr="00B84690">
        <w:t>Links</w:t>
      </w:r>
    </w:p>
    <w:p w:rsidR="00000000" w:rsidRPr="00B84690" w:rsidP="00B41013">
      <w:pPr>
        <w:pStyle w:val="BodyText"/>
      </w:pPr>
      <w:r w:rsidRPr="00B84690">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E76425">
        <w:rPr>
          <w:rStyle w:val="Hyperlink"/>
        </w:rPr>
        <w:t>https://vetnet.gov.au/Pages/TrainingDocs.aspx?q=b7050d37-5fd0-4740-8f7d-3b7a49c10bb2</w:t>
      </w:r>
      <w:r>
        <w:fldChar w:fldCharType="end"/>
      </w:r>
    </w:p>
    <w:p w:rsidR="00000000" w:rsidRPr="00B84690" w:rsidP="00B41013">
      <w:pPr>
        <w:pStyle w:val="BodyText"/>
        <w:sectPr w:rsidSect="00B84690">
          <w:headerReference w:type="default" r:id="rId10"/>
          <w:footerReference w:type="default" r:id="rId11"/>
          <w:pgSz w:w="11908" w:h="16833"/>
          <w:pgMar w:top="1702" w:right="1418" w:bottom="1702" w:left="1418" w:header="992" w:footer="992" w:gutter="0"/>
          <w:cols w:space="720"/>
          <w:noEndnote/>
          <w:docGrid w:linePitch="299"/>
        </w:sectPr>
      </w:pPr>
    </w:p>
    <w:p w:rsidR="00000000" w:rsidRPr="00B84690" w:rsidP="00B84690">
      <w:pPr>
        <w:pStyle w:val="SuperHeading"/>
      </w:pPr>
      <w:r w:rsidRPr="00B84690">
        <w:t>Assessment Requirements for MEM21016 Install and set up clocks</w:t>
      </w:r>
    </w:p>
    <w:p w:rsidR="00000000" w:rsidRPr="00B84690" w:rsidP="00B84690">
      <w:pPr>
        <w:pStyle w:val="Heading1"/>
      </w:pPr>
      <w:bookmarkStart w:id="10" w:name="O_951403"/>
      <w:bookmarkEnd w:id="10"/>
      <w:r w:rsidRPr="00B84690">
        <w:t>Modification History</w:t>
      </w:r>
    </w:p>
    <w:p w:rsidR="00000000" w:rsidRPr="00B84690" w:rsidP="00B41013">
      <w:pPr>
        <w:pStyle w:val="BodyText"/>
      </w:pPr>
      <w:r w:rsidRPr="00B84690">
        <w:t xml:space="preserve">Release 1. Supersedes and is equivalent to MEM21016A Install and set up clocks </w:t>
      </w:r>
    </w:p>
    <w:p w:rsidR="00000000" w:rsidRPr="00B84690" w:rsidP="00B84690">
      <w:pPr>
        <w:pStyle w:val="Heading1"/>
      </w:pPr>
      <w:bookmarkStart w:id="11" w:name="O_951406"/>
      <w:bookmarkEnd w:id="11"/>
      <w:r w:rsidRPr="00B84690">
        <w:t>Performance Evidence</w:t>
      </w:r>
    </w:p>
    <w:p w:rsidR="00000000" w:rsidRPr="00B84690" w:rsidP="00B41013">
      <w:pPr>
        <w:pStyle w:val="BodyText"/>
      </w:pPr>
      <w:r w:rsidRPr="00B84690">
        <w:t>Evidence required to demonstrate competence in this unit must be relevant to and satisfy the requirem</w:t>
      </w:r>
      <w:r w:rsidRPr="00B84690">
        <w:t>ents of the elements and performance criteria on at least two (2) occasions and include:</w:t>
      </w:r>
    </w:p>
    <w:p w:rsidR="00000000" w:rsidRPr="00B84690" w:rsidP="00B84690">
      <w:pPr>
        <w:pStyle w:val="ListBullet"/>
      </w:pPr>
      <w:r w:rsidRPr="00B84690">
        <w:t xml:space="preserve">following work instructions, standard operating procedures and safe work practices </w:t>
      </w:r>
    </w:p>
    <w:p w:rsidR="00000000" w:rsidRPr="00B84690" w:rsidP="00B84690">
      <w:pPr>
        <w:pStyle w:val="ListBullet"/>
      </w:pPr>
      <w:r w:rsidRPr="00B84690">
        <w:t xml:space="preserve">verifying and agreeing on clock location requirements and preparing the clock for </w:t>
      </w:r>
      <w:r w:rsidRPr="00B84690">
        <w:t xml:space="preserve">shipment/transport </w:t>
      </w:r>
    </w:p>
    <w:p w:rsidR="00000000" w:rsidRPr="00B84690" w:rsidP="00B84690">
      <w:pPr>
        <w:pStyle w:val="ListBullet"/>
      </w:pPr>
      <w:r w:rsidRPr="00B84690">
        <w:t xml:space="preserve">setting up and installing pendulum clocks using appropriate methods and fixings </w:t>
      </w:r>
    </w:p>
    <w:p w:rsidR="00000000" w:rsidRPr="00B84690" w:rsidP="00B84690">
      <w:pPr>
        <w:pStyle w:val="ListBullet"/>
      </w:pPr>
      <w:r w:rsidRPr="00B84690">
        <w:t>using appropriate tools and equipment to set up and install clocks</w:t>
      </w:r>
    </w:p>
    <w:p w:rsidR="00000000" w:rsidRPr="00B84690" w:rsidP="00B84690">
      <w:pPr>
        <w:pStyle w:val="ListBullet"/>
      </w:pPr>
      <w:r w:rsidRPr="00B84690">
        <w:t>unpacking components and verifying contents against packing slip/component list in accor</w:t>
      </w:r>
      <w:r w:rsidRPr="00B84690">
        <w:t>dance with manufacturer’s specifications</w:t>
      </w:r>
    </w:p>
    <w:p w:rsidR="00000000" w:rsidRPr="00B84690" w:rsidP="00B84690">
      <w:pPr>
        <w:pStyle w:val="ListBullet"/>
      </w:pPr>
      <w:r w:rsidRPr="00B84690">
        <w:t xml:space="preserve">testing and adjusting clock functions </w:t>
      </w:r>
    </w:p>
    <w:p w:rsidR="00000000" w:rsidRPr="00B84690" w:rsidP="00B84690">
      <w:pPr>
        <w:pStyle w:val="ListBullet"/>
      </w:pPr>
      <w:r w:rsidRPr="00B84690">
        <w:t>interpreting timing test results and making rate adjustments to achieve accurate timing and performance.</w:t>
      </w:r>
    </w:p>
    <w:p w:rsidR="00000000" w:rsidRPr="00B84690" w:rsidP="00B84690">
      <w:pPr>
        <w:pStyle w:val="AllowPageBreak"/>
      </w:pPr>
    </w:p>
    <w:p w:rsidR="00000000" w:rsidRPr="00B84690" w:rsidP="00B84690">
      <w:pPr>
        <w:pStyle w:val="Heading1"/>
      </w:pPr>
      <w:bookmarkStart w:id="12" w:name="O_951405"/>
      <w:bookmarkEnd w:id="12"/>
      <w:r w:rsidRPr="00B84690">
        <w:t>Knowledge Evidence</w:t>
      </w:r>
    </w:p>
    <w:p w:rsidR="00000000" w:rsidRPr="00B84690" w:rsidP="00B41013">
      <w:pPr>
        <w:pStyle w:val="BodyText"/>
      </w:pPr>
      <w:r w:rsidRPr="00B84690">
        <w:t>Evidence required to demonstrate th</w:t>
      </w:r>
      <w:r w:rsidRPr="00B84690">
        <w:t>e required knowledge for this unit must be relevant to and satisfy the requirements of the elements and performance criteria and include knowledge of:</w:t>
      </w:r>
    </w:p>
    <w:p w:rsidR="00000000" w:rsidRPr="00B84690" w:rsidP="00B84690">
      <w:pPr>
        <w:pStyle w:val="ListBullet"/>
      </w:pPr>
      <w:r w:rsidRPr="00B84690">
        <w:t>safe work practices and procedures and use of personal protective equipment (PPE)</w:t>
      </w:r>
    </w:p>
    <w:p w:rsidR="00000000" w:rsidRPr="00B84690" w:rsidP="00B84690">
      <w:pPr>
        <w:pStyle w:val="ListBullet"/>
      </w:pPr>
      <w:r w:rsidRPr="00B84690">
        <w:t>types of clocks</w:t>
      </w:r>
    </w:p>
    <w:p w:rsidR="00000000" w:rsidRPr="00B84690" w:rsidP="00B84690">
      <w:pPr>
        <w:pStyle w:val="ListBullet"/>
      </w:pPr>
      <w:r w:rsidRPr="00B84690">
        <w:t xml:space="preserve">implications for correct set-up </w:t>
      </w:r>
    </w:p>
    <w:p w:rsidR="00000000" w:rsidRPr="00B84690" w:rsidP="00B84690">
      <w:pPr>
        <w:pStyle w:val="ListBullet"/>
      </w:pPr>
      <w:r w:rsidRPr="00B84690">
        <w:t>assessments, tests and correct operational function confirmation processes required</w:t>
      </w:r>
    </w:p>
    <w:p w:rsidR="00000000" w:rsidRPr="00B84690" w:rsidP="00B84690">
      <w:pPr>
        <w:pStyle w:val="ListBullet"/>
      </w:pPr>
      <w:r w:rsidRPr="00B84690">
        <w:t>set up and adjustment techniques</w:t>
      </w:r>
    </w:p>
    <w:p w:rsidR="00000000" w:rsidRPr="00B84690" w:rsidP="00B84690">
      <w:pPr>
        <w:pStyle w:val="ListBullet"/>
      </w:pPr>
      <w:r w:rsidRPr="00B84690">
        <w:t>wall and floor fixing methods</w:t>
      </w:r>
    </w:p>
    <w:p w:rsidR="00000000" w:rsidRPr="00B84690" w:rsidP="00B84690">
      <w:pPr>
        <w:pStyle w:val="ListBullet"/>
      </w:pPr>
      <w:r w:rsidRPr="00B84690">
        <w:t>tools and equipment for installation</w:t>
      </w:r>
    </w:p>
    <w:p w:rsidR="00000000" w:rsidRPr="00B84690" w:rsidP="00B84690">
      <w:pPr>
        <w:pStyle w:val="ListBullet"/>
      </w:pPr>
      <w:r w:rsidRPr="00B84690">
        <w:t>packaging methods and materials</w:t>
      </w:r>
    </w:p>
    <w:p w:rsidR="00000000" w:rsidRPr="00B84690" w:rsidP="00B84690">
      <w:pPr>
        <w:pStyle w:val="ListBullet"/>
      </w:pPr>
      <w:r w:rsidRPr="00B84690">
        <w:t>techniq</w:t>
      </w:r>
      <w:r w:rsidRPr="00B84690">
        <w:t>ues to prevent transit damage</w:t>
      </w:r>
    </w:p>
    <w:p w:rsidR="00000000" w:rsidRPr="00B84690" w:rsidP="00B84690">
      <w:pPr>
        <w:pStyle w:val="ListBullet"/>
      </w:pPr>
      <w:r w:rsidRPr="00B84690">
        <w:t>types of power sources used in clocks</w:t>
      </w:r>
    </w:p>
    <w:p w:rsidR="00000000" w:rsidRPr="00B84690" w:rsidP="00B84690">
      <w:pPr>
        <w:pStyle w:val="ListBullet"/>
      </w:pPr>
      <w:r w:rsidRPr="00B84690">
        <w:t>precautions when handling clock cases</w:t>
      </w:r>
    </w:p>
    <w:p w:rsidR="00000000" w:rsidRPr="00B84690" w:rsidP="00B84690">
      <w:pPr>
        <w:pStyle w:val="ListBullet"/>
      </w:pPr>
      <w:r w:rsidRPr="00B84690">
        <w:t xml:space="preserve">major sections of mechanical clocks </w:t>
      </w:r>
    </w:p>
    <w:p w:rsidR="00000000" w:rsidRPr="00B84690" w:rsidP="00B84690">
      <w:pPr>
        <w:pStyle w:val="ListBullet"/>
      </w:pPr>
      <w:r w:rsidRPr="00B84690">
        <w:t>components and function of clocks.</w:t>
      </w:r>
    </w:p>
    <w:p w:rsidR="00000000" w:rsidRPr="00B84690" w:rsidP="00B84690">
      <w:pPr>
        <w:pStyle w:val="AllowPageBreak"/>
      </w:pPr>
    </w:p>
    <w:p w:rsidR="00000000" w:rsidRPr="00B84690" w:rsidP="00B84690">
      <w:pPr>
        <w:pStyle w:val="Heading1"/>
      </w:pPr>
      <w:bookmarkStart w:id="13" w:name="O_951404"/>
      <w:bookmarkEnd w:id="13"/>
      <w:r w:rsidRPr="00B84690">
        <w:t>Assessment Conditions</w:t>
      </w:r>
    </w:p>
    <w:p w:rsidR="00000000" w:rsidRPr="00B84690" w:rsidP="00B84690">
      <w:pPr>
        <w:pStyle w:val="ListBullet"/>
      </w:pPr>
      <w:r w:rsidRPr="00B84690">
        <w:t>Assessors must:</w:t>
      </w:r>
    </w:p>
    <w:p w:rsidR="00000000" w:rsidRPr="00B84690" w:rsidP="00B84690">
      <w:pPr>
        <w:pStyle w:val="ListBullet2"/>
      </w:pPr>
      <w:r w:rsidRPr="00B84690">
        <w:t>have vocational compe</w:t>
      </w:r>
      <w:r w:rsidRPr="00B84690">
        <w:t>tency in installing and setting up clocks at least to the level being assessed with relevant industry knowledge and experience</w:t>
      </w:r>
    </w:p>
    <w:p w:rsidR="00000000" w:rsidRPr="00B84690" w:rsidP="00B84690">
      <w:pPr>
        <w:pStyle w:val="ListBullet2"/>
      </w:pPr>
      <w:r w:rsidRPr="00B84690">
        <w:t xml:space="preserve">satisfy the assessor requirements in the </w:t>
      </w:r>
      <w:r w:rsidRPr="00B84690">
        <w:rPr>
          <w:rStyle w:val="Emphasis"/>
        </w:rPr>
        <w:t xml:space="preserve">Standards for Registered Training Organisations 2015 </w:t>
      </w:r>
      <w:r w:rsidRPr="00B84690">
        <w:t>or its replacement</w:t>
      </w:r>
      <w:r w:rsidRPr="00B84690">
        <w:rPr>
          <w:rStyle w:val="Emphasis"/>
        </w:rPr>
        <w:t xml:space="preserve"> </w:t>
      </w:r>
      <w:r w:rsidRPr="00B84690">
        <w:t xml:space="preserve">and comply with the </w:t>
      </w:r>
      <w:r w:rsidRPr="00B84690">
        <w:rPr>
          <w:rStyle w:val="Emphasis"/>
        </w:rPr>
        <w:t xml:space="preserve">National Vocational Education and Training Regulator Act 2011, </w:t>
      </w:r>
      <w:r w:rsidRPr="00B84690">
        <w:t>its replacement</w:t>
      </w:r>
      <w:r w:rsidRPr="00B84690">
        <w:rPr>
          <w:rStyle w:val="Emphasis"/>
        </w:rPr>
        <w:t xml:space="preserve"> </w:t>
      </w:r>
      <w:r w:rsidRPr="00B84690">
        <w:t xml:space="preserve">or equivalent legislation covering VET regulation in a non-referring state/territory as the </w:t>
      </w:r>
      <w:r w:rsidRPr="00B84690">
        <w:t>case requires</w:t>
      </w:r>
    </w:p>
    <w:p w:rsidR="00000000" w:rsidRPr="00B84690" w:rsidP="00B84690">
      <w:pPr>
        <w:pStyle w:val="ListBullet"/>
      </w:pPr>
      <w:r w:rsidRPr="00B84690">
        <w:t>Where possible assessment must occur in operationa</w:t>
      </w:r>
      <w:r w:rsidRPr="00B84690">
        <w:t xml:space="preserve">l workplace situations. Where this is not possible or where personal safety or environmental damage are limiting factors, assessment must occur in a sufficiently rigorous simulated environment that reflects realistic operational workplace conditions. This </w:t>
      </w:r>
      <w:r w:rsidRPr="00B84690">
        <w:t>must cover all aspects of workplace performance, including environment, task skills, task management skills, contingency management skills and job role environment skills</w:t>
      </w:r>
    </w:p>
    <w:p w:rsidR="00000000" w:rsidRPr="00B84690" w:rsidP="00B84690">
      <w:pPr>
        <w:pStyle w:val="ListBullet"/>
      </w:pPr>
      <w:r w:rsidRPr="00B84690">
        <w:t xml:space="preserve">Conditions for assessment must include access to all tools, equipment, materials and </w:t>
      </w:r>
      <w:r w:rsidRPr="00B84690">
        <w:t>documentation required, including relevant workplace procedures, product and manufacturing specifications</w:t>
      </w:r>
    </w:p>
    <w:p w:rsidR="00000000" w:rsidRPr="00B84690" w:rsidP="00B84690">
      <w:pPr>
        <w:pStyle w:val="ListBullet"/>
      </w:pPr>
      <w:r w:rsidRPr="00B84690">
        <w:t xml:space="preserve">Assessment processes and techniques must be appropriate to the language, literacy and numeracy requirements of the work being performed and the needs </w:t>
      </w:r>
      <w:r w:rsidRPr="00B84690">
        <w:t>of the candidate.</w:t>
      </w:r>
    </w:p>
    <w:p w:rsidR="00000000" w:rsidRPr="00B84690" w:rsidP="00B84690">
      <w:pPr>
        <w:pStyle w:val="AllowPageBreak"/>
      </w:pPr>
    </w:p>
    <w:p w:rsidR="00000000" w:rsidRPr="00B84690" w:rsidP="00B84690">
      <w:pPr>
        <w:pStyle w:val="Heading1"/>
      </w:pPr>
      <w:bookmarkStart w:id="14" w:name="O_951402"/>
      <w:bookmarkEnd w:id="14"/>
      <w:r w:rsidRPr="00B84690">
        <w:t>Links</w:t>
      </w:r>
    </w:p>
    <w:p w:rsidR="00000000" w:rsidRPr="00B84690" w:rsidP="00B41013">
      <w:pPr>
        <w:pStyle w:val="BodyText"/>
      </w:pPr>
      <w:r w:rsidRPr="00B84690">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E76425">
        <w:rPr>
          <w:rStyle w:val="Hyperlink"/>
        </w:rPr>
        <w:t>https://vetnet.gov.au/Pages/TrainingDocs.aspx?q=b7050d37-5fd0-4740-8f7d-3b7a49c10bb2</w:t>
      </w:r>
      <w:r>
        <w:fldChar w:fldCharType="end"/>
      </w:r>
    </w:p>
    <w:p w:rsidR="00000000" w:rsidRPr="00B84690" w:rsidP="00B84690"/>
    <w:sectPr w:rsidSect="00B8469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6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690" w:rsidRPr="00B41013" w:rsidP="00B410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6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013" w:rsidP="00B846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41013" w:rsidP="00B8469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B41013" w:rsidP="00B8469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690" w:rsidP="00B84690">
    <w:pPr>
      <w:pStyle w:val="Footer"/>
      <w:framePr w:wrap="around"/>
    </w:pPr>
    <w:r>
      <w:fldChar w:fldCharType="begin"/>
    </w:r>
    <w:r>
      <w:instrText xml:space="preserve"> DOCPROPERTY  Subject  \* MERGEFORMAT </w:instrText>
    </w:r>
    <w:r>
      <w:fldChar w:fldCharType="separate"/>
    </w:r>
    <w:r w:rsidR="00B41013">
      <w:t>Approved</w:t>
    </w:r>
    <w:r w:rsidR="00B41013">
      <w:fldChar w:fldCharType="end"/>
    </w:r>
    <w:r>
      <w:tab/>
      <w:t xml:space="preserve">Page </w:t>
    </w:r>
    <w:r>
      <w:fldChar w:fldCharType="begin"/>
    </w:r>
    <w:r>
      <w:instrText xml:space="preserve"> PAGE  \* Arabic  \* MERGEFORMAT </w:instrText>
    </w:r>
    <w:r>
      <w:fldChar w:fldCharType="separate"/>
    </w:r>
    <w:r w:rsidR="00B41013">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41013">
      <w:rPr>
        <w:noProof/>
      </w:rPr>
      <w:t>6</w:t>
    </w:r>
    <w:r>
      <w:rPr>
        <w:noProof/>
      </w:rPr>
      <w:fldChar w:fldCharType="end"/>
    </w:r>
  </w:p>
  <w:p w:rsidR="00B84690" w:rsidP="00B84690">
    <w:pPr>
      <w:pStyle w:val="Footer"/>
      <w:framePr w:wrap="around"/>
    </w:pPr>
    <w:r>
      <w:t xml:space="preserve">© Commonwealth of Australia, </w:t>
    </w:r>
    <w:r>
      <w:fldChar w:fldCharType="begin"/>
    </w:r>
    <w:r>
      <w:instrText xml:space="preserve"> DATE  \@ "yyyy"  \* MERGEFORMAT </w:instrText>
    </w:r>
    <w:r>
      <w:fldChar w:fldCharType="separate"/>
    </w:r>
    <w:r w:rsidR="00B41013">
      <w:rPr>
        <w:noProof/>
      </w:rPr>
      <w:t>2025</w:t>
    </w:r>
    <w:r>
      <w:fldChar w:fldCharType="end"/>
    </w:r>
    <w:r>
      <w:tab/>
    </w:r>
    <w:r>
      <w:fldChar w:fldCharType="begin"/>
    </w:r>
    <w:r>
      <w:instrText xml:space="preserve"> DOCPROPERTY  Author  \* MERGEFORMAT </w:instrText>
    </w:r>
    <w:r>
      <w:fldChar w:fldCharType="separate"/>
    </w:r>
    <w:r w:rsidR="00B41013">
      <w:t>Manufacturing Industry Skills Alliance</w:t>
    </w:r>
    <w:r w:rsidR="00B41013">
      <w:fldChar w:fldCharType="end"/>
    </w:r>
  </w:p>
  <w:p w:rsidR="00B84690" w:rsidP="00B846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6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0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4690" w:rsidRPr="00B41013" w:rsidP="00B410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6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013" w:rsidRPr="002D2AF8" w:rsidP="00B84690">
    <w:pPr>
      <w:pStyle w:val="Header"/>
      <w:framePr w:wrap="around"/>
    </w:pPr>
    <w:r>
      <w:fldChar w:fldCharType="begin"/>
    </w:r>
    <w:r>
      <w:instrText xml:space="preserve"> TITLE   \* MERGEFORMAT </w:instrText>
    </w:r>
    <w:r>
      <w:fldChar w:fldCharType="separate"/>
    </w:r>
    <w:r>
      <w:t>MEM21016 Install and set up clocks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41013" w:rsidP="00B8469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690" w:rsidRPr="002D2AF8" w:rsidP="00B84690">
    <w:pPr>
      <w:pStyle w:val="Header"/>
      <w:framePr w:wrap="around"/>
    </w:pPr>
    <w:r>
      <w:fldChar w:fldCharType="begin"/>
    </w:r>
    <w:r>
      <w:instrText xml:space="preserve"> TITLE   \* MERGEFORMAT </w:instrText>
    </w:r>
    <w:r>
      <w:fldChar w:fldCharType="separate"/>
    </w:r>
    <w:r w:rsidR="00B41013">
      <w:t>MEM21016 Install and set up clocks</w:t>
    </w:r>
    <w:r w:rsidR="00B41013">
      <w:fldChar w:fldCharType="end"/>
    </w:r>
    <w:r>
      <w:tab/>
      <w:t xml:space="preserve">Date this document was generated: </w:t>
    </w:r>
    <w:r>
      <w:fldChar w:fldCharType="begin"/>
    </w:r>
    <w:r>
      <w:instrText xml:space="preserve"> CREATEDATE  \@ "d MMMM yyyy"  \* MERGEFORMAT </w:instrText>
    </w:r>
    <w:r>
      <w:fldChar w:fldCharType="separate"/>
    </w:r>
    <w:r w:rsidR="00B41013">
      <w:rPr>
        <w:noProof/>
      </w:rPr>
      <w:t>2 March 2025</w:t>
    </w:r>
    <w:r>
      <w:fldChar w:fldCharType="end"/>
    </w:r>
  </w:p>
  <w:p w:rsidR="00B84690" w:rsidP="00B846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5C02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0E4F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DCA6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46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4690"/>
    <w:pPr>
      <w:spacing w:before="360" w:after="60"/>
      <w:outlineLvl w:val="0"/>
    </w:pPr>
    <w:rPr>
      <w:sz w:val="32"/>
    </w:rPr>
  </w:style>
  <w:style w:type="paragraph" w:styleId="Heading2">
    <w:name w:val="heading 2"/>
    <w:basedOn w:val="HeadingBase"/>
    <w:next w:val="BodyText"/>
    <w:link w:val="Heading2Char"/>
    <w:qFormat/>
    <w:rsid w:val="00B84690"/>
    <w:pPr>
      <w:keepLines/>
      <w:spacing w:before="240" w:after="120"/>
      <w:outlineLvl w:val="1"/>
    </w:pPr>
    <w:rPr>
      <w:sz w:val="28"/>
      <w:szCs w:val="40"/>
    </w:rPr>
  </w:style>
  <w:style w:type="paragraph" w:styleId="Heading3">
    <w:name w:val="heading 3"/>
    <w:basedOn w:val="HeadingBase"/>
    <w:next w:val="BodyText"/>
    <w:link w:val="Heading3Char"/>
    <w:qFormat/>
    <w:rsid w:val="00B84690"/>
    <w:pPr>
      <w:spacing w:before="180" w:after="120"/>
      <w:outlineLvl w:val="2"/>
    </w:pPr>
    <w:rPr>
      <w:spacing w:val="-10"/>
      <w:kern w:val="32"/>
    </w:rPr>
  </w:style>
  <w:style w:type="paragraph" w:styleId="Heading4">
    <w:name w:val="heading 4"/>
    <w:basedOn w:val="HeadingBase"/>
    <w:next w:val="BodyText"/>
    <w:link w:val="Heading4Char"/>
    <w:qFormat/>
    <w:rsid w:val="00B84690"/>
    <w:pPr>
      <w:spacing w:before="160" w:after="120"/>
      <w:outlineLvl w:val="3"/>
    </w:pPr>
    <w:rPr>
      <w:sz w:val="22"/>
    </w:rPr>
  </w:style>
  <w:style w:type="paragraph" w:styleId="Heading5">
    <w:name w:val="heading 5"/>
    <w:basedOn w:val="HeadingBase"/>
    <w:next w:val="Normal"/>
    <w:link w:val="Heading5Char"/>
    <w:qFormat/>
    <w:rsid w:val="00B84690"/>
    <w:pPr>
      <w:spacing w:before="80"/>
      <w:outlineLvl w:val="4"/>
    </w:pPr>
    <w:rPr>
      <w:color w:val="918585"/>
      <w:sz w:val="20"/>
    </w:rPr>
  </w:style>
  <w:style w:type="paragraph" w:styleId="Heading6">
    <w:name w:val="heading 6"/>
    <w:basedOn w:val="HeadingBase"/>
    <w:next w:val="Normal"/>
    <w:link w:val="Heading6Char"/>
    <w:qFormat/>
    <w:rsid w:val="00B84690"/>
    <w:pPr>
      <w:spacing w:before="60"/>
      <w:outlineLvl w:val="5"/>
    </w:pPr>
    <w:rPr>
      <w:color w:val="918585"/>
      <w:sz w:val="20"/>
    </w:rPr>
  </w:style>
  <w:style w:type="paragraph" w:styleId="Heading7">
    <w:name w:val="heading 7"/>
    <w:basedOn w:val="Normal"/>
    <w:next w:val="Normal"/>
    <w:link w:val="Heading7Char"/>
    <w:qFormat/>
    <w:rsid w:val="00B84690"/>
    <w:pPr>
      <w:ind w:left="720"/>
      <w:outlineLvl w:val="6"/>
    </w:pPr>
    <w:rPr>
      <w:i/>
    </w:rPr>
  </w:style>
  <w:style w:type="paragraph" w:styleId="Heading8">
    <w:name w:val="heading 8"/>
    <w:basedOn w:val="Normal"/>
    <w:next w:val="Normal"/>
    <w:link w:val="Heading8Char"/>
    <w:qFormat/>
    <w:rsid w:val="00B84690"/>
    <w:pPr>
      <w:ind w:left="720"/>
      <w:outlineLvl w:val="7"/>
    </w:pPr>
    <w:rPr>
      <w:i/>
    </w:rPr>
  </w:style>
  <w:style w:type="paragraph" w:styleId="Heading9">
    <w:name w:val="heading 9"/>
    <w:basedOn w:val="Normal"/>
    <w:next w:val="Normal"/>
    <w:link w:val="Heading9Char"/>
    <w:qFormat/>
    <w:rsid w:val="00B84690"/>
    <w:pPr>
      <w:ind w:left="720"/>
      <w:outlineLvl w:val="8"/>
    </w:pPr>
    <w:rPr>
      <w:i/>
    </w:rPr>
  </w:style>
  <w:style w:type="character" w:default="1" w:styleId="DefaultParagraphFont">
    <w:name w:val="Default Paragraph Font"/>
    <w:uiPriority w:val="1"/>
    <w:unhideWhenUsed/>
    <w:rsid w:val="00B846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4690"/>
  </w:style>
  <w:style w:type="character" w:customStyle="1" w:styleId="Heading1Char">
    <w:name w:val="Heading 1 Char"/>
    <w:basedOn w:val="DefaultParagraphFont"/>
    <w:link w:val="Heading1"/>
    <w:rsid w:val="00B84690"/>
    <w:rPr>
      <w:rFonts w:ascii="Times New Roman" w:eastAsia="Times New Roman" w:hAnsi="Times New Roman" w:cs="Times New Roman"/>
      <w:b/>
      <w:sz w:val="32"/>
      <w:szCs w:val="20"/>
      <w:lang w:eastAsia="en-US"/>
    </w:rPr>
  </w:style>
  <w:style w:type="paragraph" w:styleId="BodyText">
    <w:name w:val="Body Text"/>
    <w:basedOn w:val="Normal"/>
    <w:link w:val="BodyTextChar"/>
    <w:rsid w:val="00B8469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4690"/>
    <w:rPr>
      <w:rFonts w:ascii="Times New Roman" w:eastAsia="Times New Roman" w:hAnsi="Times New Roman" w:cs="Times New Roman"/>
      <w:sz w:val="24"/>
      <w:lang w:eastAsia="en-US"/>
    </w:rPr>
  </w:style>
  <w:style w:type="paragraph" w:styleId="ListBullet">
    <w:name w:val="List Bullet"/>
    <w:basedOn w:val="List"/>
    <w:rsid w:val="00B84690"/>
    <w:pPr>
      <w:numPr>
        <w:numId w:val="12"/>
      </w:numPr>
      <w:tabs>
        <w:tab w:val="clear" w:pos="340"/>
      </w:tabs>
      <w:spacing w:before="40" w:after="40"/>
    </w:pPr>
  </w:style>
  <w:style w:type="character" w:customStyle="1" w:styleId="SpecialBold">
    <w:name w:val="Special Bold"/>
    <w:basedOn w:val="DefaultParagraphFont"/>
    <w:rsid w:val="00B84690"/>
    <w:rPr>
      <w:b/>
      <w:spacing w:val="0"/>
    </w:rPr>
  </w:style>
  <w:style w:type="paragraph" w:styleId="ListBullet2">
    <w:name w:val="List Bullet 2"/>
    <w:basedOn w:val="List2"/>
    <w:rsid w:val="00B84690"/>
    <w:pPr>
      <w:numPr>
        <w:numId w:val="13"/>
      </w:numPr>
      <w:tabs>
        <w:tab w:val="clear" w:pos="680"/>
      </w:tabs>
    </w:pPr>
  </w:style>
  <w:style w:type="character" w:styleId="Emphasis">
    <w:name w:val="Emphasis"/>
    <w:basedOn w:val="DefaultParagraphFont"/>
    <w:qFormat/>
    <w:rsid w:val="00B84690"/>
    <w:rPr>
      <w:i/>
    </w:rPr>
  </w:style>
  <w:style w:type="paragraph" w:customStyle="1" w:styleId="SuperHeading">
    <w:name w:val="SuperHeading"/>
    <w:basedOn w:val="Normal"/>
    <w:rsid w:val="00B84690"/>
    <w:pPr>
      <w:spacing w:before="240" w:after="120"/>
      <w:outlineLvl w:val="0"/>
    </w:pPr>
    <w:rPr>
      <w:rFonts w:ascii="Times New Roman" w:hAnsi="Times New Roman"/>
      <w:b/>
      <w:sz w:val="32"/>
    </w:rPr>
  </w:style>
  <w:style w:type="paragraph" w:customStyle="1" w:styleId="AllowPageBreak">
    <w:name w:val="AllowPageBreak"/>
    <w:rsid w:val="00B846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846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46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46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46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46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46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46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4690"/>
    <w:rPr>
      <w:rFonts w:ascii="Courier New" w:eastAsia="Times New Roman" w:hAnsi="Courier New" w:cs="Times New Roman"/>
      <w:i/>
      <w:szCs w:val="20"/>
      <w:lang w:eastAsia="en-US"/>
    </w:rPr>
  </w:style>
  <w:style w:type="paragraph" w:customStyle="1" w:styleId="HeadingBase">
    <w:name w:val="Heading Base"/>
    <w:rsid w:val="00B846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4690"/>
    <w:pPr>
      <w:tabs>
        <w:tab w:val="right" w:leader="dot" w:pos="9072"/>
      </w:tabs>
      <w:ind w:left="567"/>
    </w:pPr>
    <w:rPr>
      <w:szCs w:val="22"/>
    </w:rPr>
  </w:style>
  <w:style w:type="paragraph" w:customStyle="1" w:styleId="TOCBase">
    <w:name w:val="TOC Base"/>
    <w:rsid w:val="00B846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4690"/>
    <w:pPr>
      <w:tabs>
        <w:tab w:val="right" w:leader="dot" w:pos="9072"/>
      </w:tabs>
      <w:spacing w:before="40" w:after="40"/>
      <w:ind w:left="284"/>
    </w:pPr>
    <w:rPr>
      <w:rFonts w:ascii="Times New Roman" w:hAnsi="Times New Roman"/>
    </w:rPr>
  </w:style>
  <w:style w:type="paragraph" w:styleId="TOC1">
    <w:name w:val="toc 1"/>
    <w:basedOn w:val="TOCBase"/>
    <w:next w:val="Normal"/>
    <w:rsid w:val="00B846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46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4690"/>
    <w:rPr>
      <w:rFonts w:ascii="Times New Roman" w:eastAsia="Times New Roman" w:hAnsi="Times New Roman" w:cs="Times New Roman"/>
      <w:sz w:val="16"/>
      <w:lang w:eastAsia="en-US"/>
    </w:rPr>
  </w:style>
  <w:style w:type="paragraph" w:styleId="Title">
    <w:name w:val="Title"/>
    <w:basedOn w:val="HeadingBase"/>
    <w:link w:val="TitleChar"/>
    <w:qFormat/>
    <w:rsid w:val="00B84690"/>
    <w:pPr>
      <w:spacing w:before="5040"/>
      <w:jc w:val="center"/>
    </w:pPr>
    <w:rPr>
      <w:sz w:val="48"/>
      <w:szCs w:val="72"/>
      <w:lang w:val="en-US"/>
    </w:rPr>
  </w:style>
  <w:style w:type="character" w:customStyle="1" w:styleId="TitleChar">
    <w:name w:val="Title Char"/>
    <w:basedOn w:val="DefaultParagraphFont"/>
    <w:link w:val="Title"/>
    <w:rsid w:val="00B846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4690"/>
    <w:pPr>
      <w:tabs>
        <w:tab w:val="left" w:pos="3600"/>
        <w:tab w:val="left" w:pos="3958"/>
      </w:tabs>
    </w:pPr>
  </w:style>
  <w:style w:type="paragraph" w:styleId="List">
    <w:name w:val="List"/>
    <w:basedOn w:val="BodyText"/>
    <w:next w:val="BodyText"/>
    <w:rsid w:val="00B84690"/>
    <w:pPr>
      <w:tabs>
        <w:tab w:val="left" w:pos="340"/>
      </w:tabs>
      <w:spacing w:before="60" w:after="60"/>
      <w:ind w:left="340" w:hanging="340"/>
    </w:pPr>
  </w:style>
  <w:style w:type="paragraph" w:customStyle="1" w:styleId="Note">
    <w:name w:val="Note"/>
    <w:basedOn w:val="BodyText"/>
    <w:rsid w:val="00B846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4690"/>
    <w:pPr>
      <w:framePr w:wrap="auto" w:hAnchor="text" w:y="6049"/>
    </w:pPr>
    <w:rPr>
      <w:color w:val="000000"/>
      <w:sz w:val="40"/>
    </w:rPr>
  </w:style>
  <w:style w:type="paragraph" w:customStyle="1" w:styleId="TOCTitle">
    <w:name w:val="TOCTitle"/>
    <w:basedOn w:val="Heading1"/>
    <w:rsid w:val="00B84690"/>
    <w:pPr>
      <w:spacing w:after="240"/>
      <w:jc w:val="center"/>
      <w:outlineLvl w:val="9"/>
    </w:pPr>
    <w:rPr>
      <w:caps/>
    </w:rPr>
  </w:style>
  <w:style w:type="paragraph" w:customStyle="1" w:styleId="Version">
    <w:name w:val="Version"/>
    <w:rsid w:val="00B846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4690"/>
    <w:pPr>
      <w:keepNext w:val="0"/>
      <w:tabs>
        <w:tab w:val="right" w:pos="4176"/>
      </w:tabs>
      <w:ind w:left="198" w:hanging="198"/>
    </w:pPr>
    <w:rPr>
      <w:rFonts w:ascii="Garamond" w:hAnsi="Garamond"/>
    </w:rPr>
  </w:style>
  <w:style w:type="paragraph" w:styleId="IndexHeading">
    <w:name w:val="index heading"/>
    <w:basedOn w:val="Normal"/>
    <w:next w:val="Index1"/>
    <w:semiHidden/>
    <w:rsid w:val="00B84690"/>
    <w:pPr>
      <w:spacing w:before="120" w:after="120"/>
    </w:pPr>
    <w:rPr>
      <w:rFonts w:ascii="Arial" w:hAnsi="Arial"/>
      <w:b/>
      <w:color w:val="918585"/>
      <w:sz w:val="24"/>
    </w:rPr>
  </w:style>
  <w:style w:type="paragraph" w:styleId="Header">
    <w:name w:val="header"/>
    <w:basedOn w:val="Normal"/>
    <w:link w:val="HeaderChar"/>
    <w:rsid w:val="00B846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4690"/>
    <w:rPr>
      <w:rFonts w:ascii="Times New Roman" w:eastAsia="Times New Roman" w:hAnsi="Times New Roman" w:cs="Times New Roman"/>
      <w:sz w:val="16"/>
      <w:szCs w:val="20"/>
      <w:lang w:val="en-GB" w:eastAsia="en-US"/>
    </w:rPr>
  </w:style>
  <w:style w:type="paragraph" w:customStyle="1" w:styleId="Chapter">
    <w:name w:val="Chapter"/>
    <w:basedOn w:val="Normal"/>
    <w:rsid w:val="00B84690"/>
    <w:pPr>
      <w:spacing w:before="240"/>
    </w:pPr>
    <w:rPr>
      <w:rFonts w:ascii="Times New Roman" w:hAnsi="Times New Roman"/>
      <w:smallCaps/>
      <w:spacing w:val="80"/>
      <w:sz w:val="28"/>
    </w:rPr>
  </w:style>
  <w:style w:type="paragraph" w:customStyle="1" w:styleId="InChapter">
    <w:name w:val="InChapter"/>
    <w:basedOn w:val="Heading3"/>
    <w:rsid w:val="00B84690"/>
    <w:pPr>
      <w:spacing w:after="240"/>
      <w:outlineLvl w:val="9"/>
    </w:pPr>
    <w:rPr>
      <w:noProof/>
    </w:rPr>
  </w:style>
  <w:style w:type="paragraph" w:styleId="Index2">
    <w:name w:val="index 2"/>
    <w:basedOn w:val="Normal"/>
    <w:next w:val="Normal"/>
    <w:semiHidden/>
    <w:rsid w:val="00B84690"/>
    <w:pPr>
      <w:tabs>
        <w:tab w:val="right" w:pos="4176"/>
      </w:tabs>
      <w:ind w:left="568" w:hanging="284"/>
    </w:pPr>
    <w:rPr>
      <w:rFonts w:ascii="Garamond" w:hAnsi="Garamond"/>
    </w:rPr>
  </w:style>
  <w:style w:type="paragraph" w:customStyle="1" w:styleId="Byline">
    <w:name w:val="Byline"/>
    <w:rsid w:val="00B846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4690"/>
    <w:pPr>
      <w:tabs>
        <w:tab w:val="clear" w:pos="3600"/>
        <w:tab w:val="clear" w:pos="3958"/>
      </w:tabs>
      <w:jc w:val="right"/>
    </w:pPr>
  </w:style>
  <w:style w:type="paragraph" w:styleId="Caption">
    <w:name w:val="caption"/>
    <w:basedOn w:val="BodyText"/>
    <w:next w:val="Normal"/>
    <w:qFormat/>
    <w:rsid w:val="00B84690"/>
    <w:pPr>
      <w:framePr w:w="2268" w:hSpace="181" w:vSpace="181" w:wrap="around" w:vAnchor="text" w:hAnchor="page" w:x="1135" w:y="285" w:anchorLock="1"/>
    </w:pPr>
    <w:rPr>
      <w:i/>
    </w:rPr>
  </w:style>
  <w:style w:type="paragraph" w:customStyle="1" w:styleId="MiniTOCTitle">
    <w:name w:val="MiniTOCTitle"/>
    <w:basedOn w:val="Heading4"/>
    <w:rsid w:val="00B84690"/>
    <w:pPr>
      <w:spacing w:before="240"/>
      <w:outlineLvl w:val="9"/>
    </w:pPr>
    <w:rPr>
      <w:noProof/>
      <w:sz w:val="24"/>
    </w:rPr>
  </w:style>
  <w:style w:type="paragraph" w:customStyle="1" w:styleId="MiniTOCItem">
    <w:name w:val="MiniTOCItem"/>
    <w:basedOn w:val="ListBullet"/>
    <w:rsid w:val="00B84690"/>
    <w:pPr>
      <w:numPr>
        <w:numId w:val="0"/>
      </w:numPr>
      <w:tabs>
        <w:tab w:val="right" w:leader="dot" w:pos="6521"/>
      </w:tabs>
      <w:spacing w:before="0" w:after="0"/>
    </w:pPr>
  </w:style>
  <w:style w:type="paragraph" w:customStyle="1" w:styleId="TOFTitle">
    <w:name w:val="TOFTitle"/>
    <w:basedOn w:val="TOCTitle"/>
    <w:rsid w:val="00B84690"/>
  </w:style>
  <w:style w:type="paragraph" w:styleId="TableofFigures">
    <w:name w:val="table of figures"/>
    <w:basedOn w:val="Normal"/>
    <w:next w:val="Normal"/>
    <w:semiHidden/>
    <w:rsid w:val="00B84690"/>
    <w:pPr>
      <w:tabs>
        <w:tab w:val="right" w:leader="dot" w:pos="9072"/>
      </w:tabs>
      <w:ind w:left="970" w:hanging="403"/>
    </w:pPr>
    <w:rPr>
      <w:rFonts w:ascii="Times New Roman" w:hAnsi="Times New Roman"/>
      <w:b/>
    </w:rPr>
  </w:style>
  <w:style w:type="paragraph" w:styleId="ListNumber">
    <w:name w:val="List Number"/>
    <w:basedOn w:val="List"/>
    <w:rsid w:val="00B84690"/>
    <w:pPr>
      <w:numPr>
        <w:numId w:val="15"/>
      </w:numPr>
      <w:tabs>
        <w:tab w:val="clear" w:pos="340"/>
      </w:tabs>
    </w:pPr>
  </w:style>
  <w:style w:type="character" w:customStyle="1" w:styleId="WingdingSymbols">
    <w:name w:val="Wingding Symbols"/>
    <w:rsid w:val="00B84690"/>
    <w:rPr>
      <w:rFonts w:ascii="Wingdings" w:hAnsi="Wingdings"/>
    </w:rPr>
  </w:style>
  <w:style w:type="paragraph" w:customStyle="1" w:styleId="TableHeading">
    <w:name w:val="Table Heading"/>
    <w:basedOn w:val="HeadingBase"/>
    <w:rsid w:val="00B84690"/>
    <w:pPr>
      <w:keepLines/>
      <w:pBdr>
        <w:bottom w:val="single" w:sz="6" w:space="1" w:color="918585"/>
      </w:pBdr>
      <w:spacing w:before="240"/>
    </w:pPr>
  </w:style>
  <w:style w:type="character" w:customStyle="1" w:styleId="HotSpot">
    <w:name w:val="HotSpot"/>
    <w:rsid w:val="00B84690"/>
    <w:rPr>
      <w:color w:val="0033CC"/>
      <w:u w:val="none"/>
    </w:rPr>
  </w:style>
  <w:style w:type="paragraph" w:customStyle="1" w:styleId="BodyTextRight">
    <w:name w:val="Body Text Right"/>
    <w:basedOn w:val="BodyText"/>
    <w:rsid w:val="00B84690"/>
    <w:pPr>
      <w:spacing w:before="0" w:after="0"/>
      <w:jc w:val="right"/>
    </w:pPr>
  </w:style>
  <w:style w:type="paragraph" w:styleId="Index3">
    <w:name w:val="index 3"/>
    <w:basedOn w:val="ListNumber2"/>
    <w:next w:val="Normal"/>
    <w:semiHidden/>
    <w:rsid w:val="00B84690"/>
    <w:pPr>
      <w:numPr>
        <w:numId w:val="0"/>
      </w:numPr>
      <w:tabs>
        <w:tab w:val="right" w:leader="dot" w:pos="4176"/>
      </w:tabs>
    </w:pPr>
  </w:style>
  <w:style w:type="paragraph" w:styleId="ListNumber2">
    <w:name w:val="List Number 2"/>
    <w:basedOn w:val="List2"/>
    <w:rsid w:val="00B84690"/>
    <w:pPr>
      <w:numPr>
        <w:numId w:val="10"/>
      </w:numPr>
      <w:tabs>
        <w:tab w:val="clear" w:pos="1060"/>
      </w:tabs>
    </w:pPr>
  </w:style>
  <w:style w:type="paragraph" w:customStyle="1" w:styleId="MarginNote">
    <w:name w:val="Margin Note"/>
    <w:basedOn w:val="BodyText"/>
    <w:rsid w:val="00B846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46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46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4690"/>
    <w:rPr>
      <w:sz w:val="32"/>
    </w:rPr>
  </w:style>
  <w:style w:type="paragraph" w:customStyle="1" w:styleId="HeadingProcedure">
    <w:name w:val="Heading Procedure"/>
    <w:basedOn w:val="HeadingBase"/>
    <w:next w:val="Normal"/>
    <w:rsid w:val="00B84690"/>
    <w:pPr>
      <w:tabs>
        <w:tab w:val="left" w:pos="0"/>
      </w:tabs>
      <w:spacing w:before="120" w:after="60"/>
    </w:pPr>
    <w:rPr>
      <w:i/>
      <w:color w:val="918585"/>
      <w:sz w:val="22"/>
    </w:rPr>
  </w:style>
  <w:style w:type="paragraph" w:customStyle="1" w:styleId="TableBodyText">
    <w:name w:val="Table Body Text"/>
    <w:basedOn w:val="BodyText"/>
    <w:rsid w:val="00B84690"/>
    <w:pPr>
      <w:spacing w:before="60" w:after="60"/>
    </w:pPr>
  </w:style>
  <w:style w:type="paragraph" w:styleId="ListContinue">
    <w:name w:val="List Continue"/>
    <w:basedOn w:val="List"/>
    <w:rsid w:val="00B84690"/>
    <w:pPr>
      <w:ind w:firstLine="0"/>
    </w:pPr>
  </w:style>
  <w:style w:type="paragraph" w:customStyle="1" w:styleId="ListNote">
    <w:name w:val="List Note"/>
    <w:basedOn w:val="List"/>
    <w:rsid w:val="00B84690"/>
    <w:pPr>
      <w:pBdr>
        <w:top w:val="single" w:sz="6" w:space="2" w:color="918585"/>
        <w:bottom w:val="single" w:sz="6" w:space="2" w:color="918585"/>
      </w:pBdr>
      <w:tabs>
        <w:tab w:val="left" w:pos="1021"/>
      </w:tabs>
      <w:ind w:firstLine="0"/>
    </w:pPr>
  </w:style>
  <w:style w:type="paragraph" w:customStyle="1" w:styleId="Warning">
    <w:name w:val="Warning"/>
    <w:basedOn w:val="BodyText"/>
    <w:rsid w:val="00B84690"/>
    <w:pPr>
      <w:shd w:val="clear" w:color="auto" w:fill="D9D9D9"/>
      <w:tabs>
        <w:tab w:val="left" w:pos="992"/>
      </w:tabs>
      <w:ind w:left="119" w:right="119"/>
    </w:pPr>
    <w:rPr>
      <w:sz w:val="20"/>
    </w:rPr>
  </w:style>
  <w:style w:type="paragraph" w:customStyle="1" w:styleId="MarginIcons">
    <w:name w:val="Margin Icons"/>
    <w:basedOn w:val="BodyText"/>
    <w:rsid w:val="00B846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4690"/>
    <w:rPr>
      <w:rFonts w:ascii="Courier New" w:hAnsi="Courier New"/>
    </w:rPr>
  </w:style>
  <w:style w:type="paragraph" w:customStyle="1" w:styleId="NoteBullet">
    <w:name w:val="Note Bullet"/>
    <w:basedOn w:val="Note"/>
    <w:rsid w:val="00B84690"/>
    <w:pPr>
      <w:tabs>
        <w:tab w:val="clear" w:pos="680"/>
      </w:tabs>
      <w:spacing w:before="60" w:after="60"/>
    </w:pPr>
  </w:style>
  <w:style w:type="paragraph" w:customStyle="1" w:styleId="SubHeading2">
    <w:name w:val="SubHeading2"/>
    <w:basedOn w:val="HeadingBase"/>
    <w:rsid w:val="00B84690"/>
    <w:pPr>
      <w:spacing w:before="240" w:after="60"/>
    </w:pPr>
    <w:rPr>
      <w:sz w:val="20"/>
    </w:rPr>
  </w:style>
  <w:style w:type="paragraph" w:customStyle="1" w:styleId="SubHeading1">
    <w:name w:val="SubHeading1"/>
    <w:basedOn w:val="HeadingBase"/>
    <w:rsid w:val="00B84690"/>
    <w:pPr>
      <w:spacing w:before="240" w:after="60"/>
    </w:pPr>
    <w:rPr>
      <w:color w:val="918585"/>
      <w:sz w:val="22"/>
    </w:rPr>
  </w:style>
  <w:style w:type="paragraph" w:customStyle="1" w:styleId="SideHeading">
    <w:name w:val="Side Heading"/>
    <w:basedOn w:val="HeadingBase"/>
    <w:rsid w:val="00B846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4690"/>
    <w:pPr>
      <w:tabs>
        <w:tab w:val="num" w:pos="360"/>
      </w:tabs>
    </w:pPr>
  </w:style>
  <w:style w:type="paragraph" w:styleId="PlainText">
    <w:name w:val="Plain Text"/>
    <w:basedOn w:val="Normal"/>
    <w:link w:val="PlainTextChar"/>
    <w:rsid w:val="00B84690"/>
    <w:rPr>
      <w:sz w:val="20"/>
    </w:rPr>
  </w:style>
  <w:style w:type="character" w:customStyle="1" w:styleId="PlainTextChar">
    <w:name w:val="Plain Text Char"/>
    <w:basedOn w:val="DefaultParagraphFont"/>
    <w:link w:val="PlainText"/>
    <w:rsid w:val="00B84690"/>
    <w:rPr>
      <w:rFonts w:ascii="Courier New" w:eastAsia="Times New Roman" w:hAnsi="Courier New" w:cs="Times New Roman"/>
      <w:sz w:val="20"/>
      <w:szCs w:val="20"/>
      <w:lang w:eastAsia="en-US"/>
    </w:rPr>
  </w:style>
  <w:style w:type="character" w:customStyle="1" w:styleId="MenuOption">
    <w:name w:val="Menu Option"/>
    <w:basedOn w:val="DefaultParagraphFont"/>
    <w:rsid w:val="00B84690"/>
    <w:rPr>
      <w:b/>
      <w:smallCaps/>
    </w:rPr>
  </w:style>
  <w:style w:type="paragraph" w:customStyle="1" w:styleId="TableListNumber">
    <w:name w:val="Table List Number"/>
    <w:basedOn w:val="ListNumber"/>
    <w:rsid w:val="00B84690"/>
    <w:pPr>
      <w:numPr>
        <w:numId w:val="0"/>
      </w:numPr>
    </w:pPr>
  </w:style>
  <w:style w:type="paragraph" w:styleId="TOC4">
    <w:name w:val="toc 4"/>
    <w:basedOn w:val="TOCBase"/>
    <w:next w:val="Normal"/>
    <w:semiHidden/>
    <w:rsid w:val="00B84690"/>
    <w:pPr>
      <w:tabs>
        <w:tab w:val="right" w:leader="dot" w:pos="9071"/>
      </w:tabs>
      <w:ind w:left="1701"/>
    </w:pPr>
  </w:style>
  <w:style w:type="paragraph" w:customStyle="1" w:styleId="ListAlpha">
    <w:name w:val="List Alpha"/>
    <w:basedOn w:val="List"/>
    <w:rsid w:val="00B84690"/>
    <w:pPr>
      <w:numPr>
        <w:numId w:val="9"/>
      </w:numPr>
    </w:pPr>
  </w:style>
  <w:style w:type="paragraph" w:customStyle="1" w:styleId="ListAlpha2">
    <w:name w:val="List Alpha 2"/>
    <w:basedOn w:val="List2"/>
    <w:rsid w:val="00B84690"/>
    <w:pPr>
      <w:numPr>
        <w:numId w:val="8"/>
      </w:numPr>
    </w:pPr>
  </w:style>
  <w:style w:type="paragraph" w:styleId="List2">
    <w:name w:val="List 2"/>
    <w:basedOn w:val="BodyText"/>
    <w:rsid w:val="00B84690"/>
    <w:pPr>
      <w:tabs>
        <w:tab w:val="left" w:pos="680"/>
      </w:tabs>
      <w:spacing w:before="60" w:after="60"/>
      <w:ind w:left="680" w:hanging="340"/>
    </w:pPr>
  </w:style>
  <w:style w:type="paragraph" w:styleId="List3">
    <w:name w:val="List 3"/>
    <w:basedOn w:val="BodyText"/>
    <w:rsid w:val="00B84690"/>
    <w:pPr>
      <w:tabs>
        <w:tab w:val="left" w:pos="1021"/>
      </w:tabs>
      <w:spacing w:before="60" w:after="60"/>
      <w:ind w:left="1020" w:hanging="340"/>
    </w:pPr>
  </w:style>
  <w:style w:type="paragraph" w:styleId="List4">
    <w:name w:val="List 4"/>
    <w:basedOn w:val="BodyText"/>
    <w:rsid w:val="00B84690"/>
    <w:pPr>
      <w:tabs>
        <w:tab w:val="left" w:pos="1361"/>
      </w:tabs>
      <w:spacing w:before="60" w:after="60"/>
      <w:ind w:left="1361" w:hanging="340"/>
    </w:pPr>
  </w:style>
  <w:style w:type="paragraph" w:styleId="List5">
    <w:name w:val="List 5"/>
    <w:basedOn w:val="BodyText"/>
    <w:rsid w:val="00B84690"/>
    <w:pPr>
      <w:tabs>
        <w:tab w:val="left" w:pos="1701"/>
      </w:tabs>
      <w:spacing w:before="60" w:after="60"/>
      <w:ind w:left="1701" w:hanging="340"/>
    </w:pPr>
  </w:style>
  <w:style w:type="paragraph" w:styleId="ListBullet3">
    <w:name w:val="List Bullet 3"/>
    <w:basedOn w:val="List3"/>
    <w:rsid w:val="00B84690"/>
    <w:pPr>
      <w:numPr>
        <w:numId w:val="14"/>
      </w:numPr>
      <w:tabs>
        <w:tab w:val="clear" w:pos="1021"/>
      </w:tabs>
      <w:ind w:left="1037" w:hanging="357"/>
    </w:pPr>
  </w:style>
  <w:style w:type="paragraph" w:styleId="ListBullet4">
    <w:name w:val="List Bullet 4"/>
    <w:basedOn w:val="List4"/>
    <w:rsid w:val="00B84690"/>
    <w:pPr>
      <w:numPr>
        <w:numId w:val="3"/>
      </w:numPr>
      <w:tabs>
        <w:tab w:val="clear" w:pos="1361"/>
      </w:tabs>
    </w:pPr>
  </w:style>
  <w:style w:type="paragraph" w:styleId="ListBullet5">
    <w:name w:val="List Bullet 5"/>
    <w:basedOn w:val="List5"/>
    <w:rsid w:val="00B84690"/>
    <w:pPr>
      <w:numPr>
        <w:numId w:val="4"/>
      </w:numPr>
    </w:pPr>
  </w:style>
  <w:style w:type="paragraph" w:styleId="ListContinue2">
    <w:name w:val="List Continue 2"/>
    <w:basedOn w:val="List2"/>
    <w:rsid w:val="00B84690"/>
    <w:pPr>
      <w:ind w:firstLine="0"/>
    </w:pPr>
  </w:style>
  <w:style w:type="paragraph" w:styleId="ListContinue3">
    <w:name w:val="List Continue 3"/>
    <w:basedOn w:val="List3"/>
    <w:rsid w:val="00B84690"/>
    <w:pPr>
      <w:ind w:left="1021" w:firstLine="0"/>
    </w:pPr>
  </w:style>
  <w:style w:type="paragraph" w:styleId="ListContinue4">
    <w:name w:val="List Continue 4"/>
    <w:basedOn w:val="List4"/>
    <w:rsid w:val="00B84690"/>
    <w:pPr>
      <w:ind w:firstLine="0"/>
    </w:pPr>
  </w:style>
  <w:style w:type="paragraph" w:styleId="ListContinue5">
    <w:name w:val="List Continue 5"/>
    <w:basedOn w:val="List5"/>
    <w:rsid w:val="00B84690"/>
    <w:pPr>
      <w:ind w:firstLine="0"/>
    </w:pPr>
  </w:style>
  <w:style w:type="paragraph" w:styleId="ListNumber3">
    <w:name w:val="List Number 3"/>
    <w:basedOn w:val="List3"/>
    <w:rsid w:val="00B84690"/>
    <w:pPr>
      <w:numPr>
        <w:numId w:val="5"/>
      </w:numPr>
    </w:pPr>
  </w:style>
  <w:style w:type="paragraph" w:styleId="ListNumber4">
    <w:name w:val="List Number 4"/>
    <w:basedOn w:val="List4"/>
    <w:rsid w:val="00B84690"/>
    <w:pPr>
      <w:numPr>
        <w:numId w:val="6"/>
      </w:numPr>
    </w:pPr>
  </w:style>
  <w:style w:type="paragraph" w:styleId="ListNumber5">
    <w:name w:val="List Number 5"/>
    <w:basedOn w:val="List5"/>
    <w:rsid w:val="00B84690"/>
    <w:pPr>
      <w:numPr>
        <w:numId w:val="7"/>
      </w:numPr>
    </w:pPr>
  </w:style>
  <w:style w:type="paragraph" w:styleId="BlockText">
    <w:name w:val="Block Text"/>
    <w:basedOn w:val="Normal"/>
    <w:rsid w:val="00B84690"/>
    <w:pPr>
      <w:spacing w:after="120"/>
      <w:ind w:left="1440" w:right="1440"/>
    </w:pPr>
  </w:style>
  <w:style w:type="character" w:customStyle="1" w:styleId="Subscript">
    <w:name w:val="Subscript"/>
    <w:basedOn w:val="DefaultParagraphFont"/>
    <w:rsid w:val="00B84690"/>
    <w:rPr>
      <w:sz w:val="16"/>
      <w:vertAlign w:val="subscript"/>
    </w:rPr>
  </w:style>
  <w:style w:type="character" w:customStyle="1" w:styleId="Superscript">
    <w:name w:val="Superscript"/>
    <w:basedOn w:val="DefaultParagraphFont"/>
    <w:rsid w:val="00B84690"/>
    <w:rPr>
      <w:sz w:val="16"/>
      <w:vertAlign w:val="superscript"/>
    </w:rPr>
  </w:style>
  <w:style w:type="character" w:customStyle="1" w:styleId="Symbols">
    <w:name w:val="Symbols"/>
    <w:basedOn w:val="DefaultParagraphFont"/>
    <w:rsid w:val="00B84690"/>
    <w:rPr>
      <w:rFonts w:ascii="Symbol" w:hAnsi="Symbol"/>
    </w:rPr>
  </w:style>
  <w:style w:type="character" w:customStyle="1" w:styleId="MenuOptions">
    <w:name w:val="Menu Options"/>
    <w:basedOn w:val="DefaultParagraphFont"/>
    <w:rsid w:val="00B84690"/>
    <w:rPr>
      <w:rFonts w:ascii="Arial Narrow" w:hAnsi="Arial Narrow"/>
      <w:smallCaps/>
    </w:rPr>
  </w:style>
  <w:style w:type="character" w:customStyle="1" w:styleId="Buttons">
    <w:name w:val="Buttons"/>
    <w:basedOn w:val="DefaultParagraphFont"/>
    <w:rsid w:val="00B84690"/>
    <w:rPr>
      <w:b/>
    </w:rPr>
  </w:style>
  <w:style w:type="character" w:customStyle="1" w:styleId="Underlined">
    <w:name w:val="Underlined"/>
    <w:basedOn w:val="DefaultParagraphFont"/>
    <w:rsid w:val="00B84690"/>
    <w:rPr>
      <w:u w:val="single"/>
    </w:rPr>
  </w:style>
  <w:style w:type="paragraph" w:customStyle="1" w:styleId="TableBodyTextRight">
    <w:name w:val="Table Body Text Right"/>
    <w:basedOn w:val="TableBodyText"/>
    <w:rsid w:val="00B84690"/>
    <w:pPr>
      <w:widowControl w:val="0"/>
      <w:autoSpaceDE w:val="0"/>
      <w:autoSpaceDN w:val="0"/>
      <w:adjustRightInd w:val="0"/>
      <w:jc w:val="right"/>
    </w:pPr>
    <w:rPr>
      <w:rFonts w:cs="Arial"/>
      <w:szCs w:val="18"/>
    </w:rPr>
  </w:style>
  <w:style w:type="paragraph" w:customStyle="1" w:styleId="CopyrightText">
    <w:name w:val="Copyright Text"/>
    <w:basedOn w:val="BodyText"/>
    <w:rsid w:val="00B84690"/>
    <w:rPr>
      <w:sz w:val="18"/>
    </w:rPr>
  </w:style>
  <w:style w:type="paragraph" w:customStyle="1" w:styleId="BodySmallRight">
    <w:name w:val="Body Small Right"/>
    <w:basedOn w:val="BodyTextRight"/>
    <w:rsid w:val="00B84690"/>
    <w:rPr>
      <w:sz w:val="18"/>
      <w:szCs w:val="18"/>
    </w:rPr>
  </w:style>
  <w:style w:type="paragraph" w:customStyle="1" w:styleId="MarginEdition">
    <w:name w:val="Margin Edition"/>
    <w:basedOn w:val="MarginNote"/>
    <w:rsid w:val="00B84690"/>
    <w:pPr>
      <w:spacing w:before="0" w:after="0"/>
    </w:pPr>
    <w:rPr>
      <w:rFonts w:ascii="Times New Roman" w:hAnsi="Times New Roman"/>
      <w:color w:val="999999"/>
    </w:rPr>
  </w:style>
  <w:style w:type="paragraph" w:customStyle="1" w:styleId="Spacer">
    <w:name w:val="Spacer"/>
    <w:basedOn w:val="Normal"/>
    <w:rsid w:val="00B84690"/>
    <w:rPr>
      <w:sz w:val="2"/>
      <w:szCs w:val="2"/>
    </w:rPr>
  </w:style>
  <w:style w:type="character" w:customStyle="1" w:styleId="Small">
    <w:name w:val="Small"/>
    <w:basedOn w:val="DefaultParagraphFont"/>
    <w:rsid w:val="00B84690"/>
    <w:rPr>
      <w:sz w:val="16"/>
    </w:rPr>
  </w:style>
  <w:style w:type="paragraph" w:customStyle="1" w:styleId="WideTable">
    <w:name w:val="Wide Table"/>
    <w:basedOn w:val="Normal"/>
    <w:rsid w:val="00B84690"/>
    <w:pPr>
      <w:ind w:left="-1418"/>
    </w:pPr>
    <w:rPr>
      <w:sz w:val="2"/>
      <w:szCs w:val="2"/>
    </w:rPr>
  </w:style>
  <w:style w:type="character" w:styleId="PageNumber">
    <w:name w:val="page number"/>
    <w:basedOn w:val="DefaultParagraphFont"/>
    <w:rsid w:val="00B84690"/>
  </w:style>
  <w:style w:type="paragraph" w:styleId="Quote">
    <w:name w:val="Quote"/>
    <w:basedOn w:val="Heading1"/>
    <w:link w:val="QuoteChar"/>
    <w:qFormat/>
    <w:rsid w:val="00B84690"/>
    <w:rPr>
      <w:b w:val="0"/>
      <w:sz w:val="72"/>
      <w:szCs w:val="72"/>
      <w:lang w:val="en-NZ"/>
    </w:rPr>
  </w:style>
  <w:style w:type="character" w:customStyle="1" w:styleId="QuoteChar">
    <w:name w:val="Quote Char"/>
    <w:basedOn w:val="DefaultParagraphFont"/>
    <w:link w:val="Quote"/>
    <w:rsid w:val="00B846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4690"/>
    <w:pPr>
      <w:pageBreakBefore/>
    </w:pPr>
  </w:style>
  <w:style w:type="paragraph" w:customStyle="1" w:styleId="Border">
    <w:name w:val="Border"/>
    <w:basedOn w:val="Normal"/>
    <w:qFormat/>
    <w:rsid w:val="00B846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4690"/>
    <w:rPr>
      <w:b/>
      <w:bCs/>
      <w:i/>
      <w:iCs/>
      <w:color w:val="auto"/>
    </w:rPr>
  </w:style>
  <w:style w:type="paragraph" w:styleId="IntenseQuote">
    <w:name w:val="Intense Quote"/>
    <w:basedOn w:val="Normal"/>
    <w:next w:val="Normal"/>
    <w:link w:val="IntenseQuoteChar"/>
    <w:uiPriority w:val="30"/>
    <w:qFormat/>
    <w:rsid w:val="00B846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46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4690"/>
    <w:rPr>
      <w:smallCaps/>
      <w:color w:val="auto"/>
      <w:u w:val="single"/>
    </w:rPr>
  </w:style>
  <w:style w:type="character" w:styleId="IntenseReference">
    <w:name w:val="Intense Reference"/>
    <w:basedOn w:val="DefaultParagraphFont"/>
    <w:uiPriority w:val="32"/>
    <w:qFormat/>
    <w:rsid w:val="00B84690"/>
    <w:rPr>
      <w:b/>
      <w:bCs/>
      <w:smallCaps/>
      <w:color w:val="auto"/>
      <w:spacing w:val="5"/>
      <w:u w:val="single"/>
    </w:rPr>
  </w:style>
  <w:style w:type="paragraph" w:customStyle="1" w:styleId="2ColumnHeading">
    <w:name w:val="2Column Heading"/>
    <w:basedOn w:val="BodyText"/>
    <w:qFormat/>
    <w:rsid w:val="00B84690"/>
    <w:pPr>
      <w:spacing w:after="60"/>
      <w:ind w:left="-2268"/>
    </w:pPr>
    <w:rPr>
      <w:b/>
    </w:rPr>
  </w:style>
  <w:style w:type="paragraph" w:customStyle="1" w:styleId="Heading1TOC">
    <w:name w:val="Heading1 TOC"/>
    <w:basedOn w:val="Normal"/>
    <w:qFormat/>
    <w:rsid w:val="00B84690"/>
    <w:pPr>
      <w:spacing w:before="240" w:after="120"/>
    </w:pPr>
    <w:rPr>
      <w:rFonts w:ascii="Times New Roman" w:hAnsi="Times New Roman"/>
      <w:b/>
      <w:sz w:val="32"/>
    </w:rPr>
  </w:style>
  <w:style w:type="paragraph" w:customStyle="1" w:styleId="Heading2TOC">
    <w:name w:val="Heading2 TOC"/>
    <w:basedOn w:val="Normal"/>
    <w:qFormat/>
    <w:rsid w:val="00B84690"/>
    <w:pPr>
      <w:spacing w:before="240" w:after="60"/>
    </w:pPr>
    <w:rPr>
      <w:rFonts w:ascii="Times New Roman" w:hAnsi="Times New Roman"/>
      <w:b/>
      <w:sz w:val="28"/>
    </w:rPr>
  </w:style>
  <w:style w:type="character" w:customStyle="1" w:styleId="Underline">
    <w:name w:val="Underline"/>
    <w:basedOn w:val="DefaultParagraphFont"/>
    <w:qFormat/>
    <w:rsid w:val="00B84690"/>
    <w:rPr>
      <w:u w:val="single"/>
    </w:rPr>
  </w:style>
  <w:style w:type="character" w:customStyle="1" w:styleId="BoldandItalics">
    <w:name w:val="Bold and Italics"/>
    <w:qFormat/>
    <w:rsid w:val="00B84690"/>
    <w:rPr>
      <w:b/>
      <w:i/>
      <w:u w:val="none"/>
    </w:rPr>
  </w:style>
  <w:style w:type="paragraph" w:styleId="BalloonText">
    <w:name w:val="Balloon Text"/>
    <w:basedOn w:val="Normal"/>
    <w:link w:val="BalloonTextChar"/>
    <w:rsid w:val="00B84690"/>
    <w:rPr>
      <w:rFonts w:ascii="Tahoma" w:hAnsi="Tahoma" w:cs="Tahoma"/>
      <w:sz w:val="16"/>
      <w:szCs w:val="16"/>
    </w:rPr>
  </w:style>
  <w:style w:type="character" w:customStyle="1" w:styleId="BalloonTextChar">
    <w:name w:val="Balloon Text Char"/>
    <w:basedOn w:val="DefaultParagraphFont"/>
    <w:link w:val="BalloonText"/>
    <w:rsid w:val="00B846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469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46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4690"/>
    <w:rPr>
      <w:b/>
      <w:color w:val="660033"/>
      <w:spacing w:val="0"/>
    </w:rPr>
  </w:style>
  <w:style w:type="paragraph" w:customStyle="1" w:styleId="Nameditemlist">
    <w:name w:val="Named item list"/>
    <w:basedOn w:val="BodyText"/>
    <w:qFormat/>
    <w:rsid w:val="00B84690"/>
    <w:pPr>
      <w:tabs>
        <w:tab w:val="left" w:pos="2835"/>
      </w:tabs>
      <w:ind w:left="2835" w:hanging="2835"/>
    </w:pPr>
  </w:style>
  <w:style w:type="paragraph" w:customStyle="1" w:styleId="BodyTextnopadding">
    <w:name w:val="Body Text no padding"/>
    <w:basedOn w:val="BodyText"/>
    <w:qFormat/>
    <w:rsid w:val="00B84690"/>
    <w:pPr>
      <w:spacing w:before="0" w:after="0"/>
    </w:pPr>
  </w:style>
  <w:style w:type="paragraph" w:customStyle="1" w:styleId="BodyTextBold">
    <w:name w:val="Body Text Bold"/>
    <w:basedOn w:val="BodyText"/>
    <w:qFormat/>
    <w:rsid w:val="00B84690"/>
    <w:rPr>
      <w:b/>
    </w:rPr>
  </w:style>
  <w:style w:type="character" w:styleId="Hyperlink">
    <w:name w:val="Hyperlink"/>
    <w:basedOn w:val="DefaultParagraphFont"/>
    <w:uiPriority w:val="99"/>
    <w:unhideWhenUsed/>
    <w:rsid w:val="00B410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1212</Words>
  <Characters>7612</Characters>
  <Application>Microsoft Office Word</Application>
  <DocSecurity>0</DocSecurity>
  <Lines>317</Lines>
  <Paragraphs>205</Paragraphs>
  <ScaleCrop>false</ScaleCrop>
  <Company>Author-it Software Corporation Ltd.</Company>
  <LinksUpToDate>false</LinksUpToDate>
  <CharactersWithSpaces>8619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MEM21016 Install and set up clocks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2025-03-02T01:50:00Z</dcterms:created>
  <dcterms:modified xsi:type="dcterms:W3CDTF">2025-03-02T01:50:00Z</dcterms:modified>
</cp:coreProperties>
</file>